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media/image4.png" ContentType="image/png"/>
  <Override PartName="/word/media/image6.jpeg" ContentType="image/jpeg"/>
  <Override PartName="/word/media/image5.jpeg" ContentType="image/jpeg"/>
  <Override PartName="/word/media/image7.png" ContentType="image/png"/>
  <Override PartName="/word/media/image8.jpeg" ContentType="image/jpeg"/>
  <Override PartName="/word/media/image9.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asciiTheme="minorHAnsi" w:cstheme="minorHAnsi" w:hAnsiTheme="minorHAnsi"/>
          <w:b/>
          <w:b/>
          <w:color w:val="174EA1"/>
          <w:sz w:val="44"/>
          <w:szCs w:val="44"/>
        </w:rPr>
      </w:pPr>
      <w:r>
        <w:drawing>
          <wp:anchor behindDoc="0" distT="0" distB="0" distL="0" distR="0" simplePos="0" locked="0" layoutInCell="0" allowOverlap="1" relativeHeight="9">
            <wp:simplePos x="0" y="0"/>
            <wp:positionH relativeFrom="column">
              <wp:posOffset>129540</wp:posOffset>
            </wp:positionH>
            <wp:positionV relativeFrom="paragraph">
              <wp:posOffset>10795</wp:posOffset>
            </wp:positionV>
            <wp:extent cx="660400" cy="721360"/>
            <wp:effectExtent l="0" t="0" r="0" b="0"/>
            <wp:wrapNone/>
            <wp:docPr id="1" name="Picture 2"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EYE%20OPP%20TRAINBLUE"/>
                    <pic:cNvPicPr>
                      <a:picLocks noChangeAspect="1" noChangeArrowheads="1"/>
                    </pic:cNvPicPr>
                  </pic:nvPicPr>
                  <pic:blipFill>
                    <a:blip r:embed="rId2"/>
                    <a:stretch>
                      <a:fillRect/>
                    </a:stretch>
                  </pic:blipFill>
                  <pic:spPr bwMode="auto">
                    <a:xfrm>
                      <a:off x="0" y="0"/>
                      <a:ext cx="660400" cy="721360"/>
                    </a:xfrm>
                    <a:prstGeom prst="rect">
                      <a:avLst/>
                    </a:prstGeom>
                  </pic:spPr>
                </pic:pic>
              </a:graphicData>
            </a:graphic>
          </wp:anchor>
        </w:drawing>
      </w:r>
      <w:r>
        <w:rPr>
          <w:rFonts w:cs="Calibri" w:cstheme="minorHAnsi"/>
          <w:b/>
          <w:color w:val="174EA1"/>
          <w:sz w:val="44"/>
          <w:szCs w:val="44"/>
        </w:rPr>
        <w:t>E</w:t>
      </w:r>
      <w:r>
        <w:rPr>
          <w:rFonts w:cs="Calibri" w:cstheme="minorHAnsi"/>
          <w:b/>
          <w:color w:val="174EA1"/>
          <w:sz w:val="44"/>
          <w:szCs w:val="44"/>
        </w:rPr>
        <w:t>YE OPPORTUNITY GROUP</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26 CASTLETON WAY, EYE, SUFFOLK IP23 7BH</w:t>
      </w:r>
    </w:p>
    <w:p>
      <w:pPr>
        <w:pStyle w:val="Normal"/>
        <w:jc w:val="center"/>
        <w:rPr>
          <w:rFonts w:ascii="Calibri" w:hAnsi="Calibri" w:cs="Calibri" w:asciiTheme="minorHAnsi" w:cstheme="minorHAnsi" w:hAnsiTheme="minorHAnsi"/>
          <w:b/>
          <w:b/>
          <w:color w:val="174EA1"/>
          <w:sz w:val="32"/>
          <w:szCs w:val="32"/>
        </w:rPr>
      </w:pPr>
      <w:r>
        <w:rPr>
          <w:rFonts w:cs="Calibri" w:cstheme="minorHAnsi"/>
          <w:b/>
          <w:color w:val="174EA1"/>
          <w:sz w:val="32"/>
          <w:szCs w:val="32"/>
        </w:rPr>
        <w:t>Tel: 01379 870975</w:t>
      </w:r>
    </w:p>
    <w:p>
      <w:pPr>
        <w:pStyle w:val="Normal"/>
        <w:jc w:val="center"/>
        <w:rPr>
          <w:rFonts w:ascii="Calibri" w:hAnsi="Calibri" w:cs="Calibri" w:asciiTheme="minorHAnsi" w:cstheme="minorHAnsi" w:hAnsiTheme="minorHAnsi"/>
          <w:b/>
          <w:b/>
          <w:color w:val="174EA1"/>
        </w:rPr>
      </w:pPr>
      <w:r>
        <w:rPr>
          <w:rFonts w:cs="Calibri" w:cstheme="minorHAnsi"/>
          <w:b/>
          <w:color w:val="174EA1"/>
        </w:rPr>
        <w:t xml:space="preserve">email: </w:t>
      </w:r>
      <w:hyperlink r:id="rId3">
        <w:r>
          <w:rPr>
            <w:rFonts w:cs="Calibri" w:cstheme="minorHAnsi"/>
            <w:b/>
            <w:color w:val="174EA1"/>
            <w:u w:val="single"/>
          </w:rPr>
          <w:t>eyeopportunitygroup@btconnect.com</w:t>
        </w:r>
      </w:hyperlink>
    </w:p>
    <w:p>
      <w:pPr>
        <w:pStyle w:val="Normal"/>
        <w:jc w:val="center"/>
        <w:rPr>
          <w:rFonts w:ascii="Arial" w:hAnsi="Arial" w:cs="Arial"/>
          <w:b/>
          <w:b/>
          <w:bCs/>
          <w:color w:val="174EA1"/>
          <w:sz w:val="28"/>
          <w:szCs w:val="28"/>
        </w:rPr>
      </w:pPr>
      <w:r>
        <w:rPr>
          <w:rFonts w:cs="Arial" w:ascii="Arial" w:hAnsi="Arial"/>
          <w:b/>
          <w:bCs/>
          <w:color w:val="174EA1"/>
          <w:sz w:val="28"/>
          <w:szCs w:val="28"/>
        </w:rPr>
      </w:r>
    </w:p>
    <w:p>
      <w:pPr>
        <w:pStyle w:val="Normal"/>
        <w:jc w:val="center"/>
        <w:rPr>
          <w:b/>
          <w:b/>
          <w:bCs/>
          <w:color w:val="174EA1"/>
        </w:rPr>
      </w:pPr>
      <w:r>
        <w:rPr>
          <w:b/>
          <w:bCs/>
          <w:color w:val="174EA1"/>
        </w:rPr>
        <w:t>Registered Charity Number 287907</w:t>
      </w:r>
    </w:p>
    <w:p>
      <w:pPr>
        <w:pStyle w:val="Normal"/>
        <w:jc w:val="center"/>
        <w:rPr>
          <w:rFonts w:ascii="Arial" w:hAnsi="Arial" w:cs="Arial"/>
          <w:b/>
          <w:b/>
          <w:bCs/>
          <w:color w:val="0000FF"/>
          <w:sz w:val="24"/>
          <w:szCs w:val="24"/>
        </w:rPr>
      </w:pPr>
      <w:r>
        <w:rPr>
          <w:rFonts w:cs="Arial" w:ascii="Arial" w:hAnsi="Arial"/>
          <w:b/>
          <w:bCs/>
          <w:color w:val="0000FF"/>
          <w:sz w:val="24"/>
          <w:szCs w:val="24"/>
        </w:rPr>
      </w:r>
    </w:p>
    <w:p>
      <w:pPr>
        <w:pStyle w:val="Normal"/>
        <w:jc w:val="center"/>
        <w:rPr>
          <w:rFonts w:ascii="Arial" w:hAnsi="Arial" w:cs="Arial"/>
          <w:b/>
          <w:b/>
          <w:bCs/>
          <w:color w:val="0000FF"/>
          <w:sz w:val="24"/>
          <w:szCs w:val="24"/>
        </w:rPr>
      </w:pPr>
      <w:r>
        <w:rPr>
          <w:rFonts w:cs="Arial" w:ascii="Arial" w:hAnsi="Arial"/>
          <w:b/>
          <w:bCs/>
          <w:color w:val="0000FF"/>
          <w:sz w:val="24"/>
          <w:szCs w:val="24"/>
        </w:rPr>
      </w:r>
    </w:p>
    <w:p>
      <w:pPr>
        <w:pStyle w:val="NormalWeb"/>
        <w:spacing w:before="100" w:afterAutospacing="0" w:after="0"/>
        <w:jc w:val="center"/>
        <w:rPr>
          <w:rFonts w:ascii="Arial" w:hAnsi="Arial" w:cs="Arial"/>
          <w:b/>
          <w:b/>
          <w:bCs/>
          <w:sz w:val="32"/>
          <w:szCs w:val="32"/>
        </w:rPr>
      </w:pPr>
      <w:r>
        <w:rPr>
          <w:rFonts w:cs="Arial" w:ascii="Arial" w:hAnsi="Arial"/>
          <w:b/>
          <w:bCs/>
          <w:sz w:val="32"/>
          <w:szCs w:val="32"/>
        </w:rPr>
        <w:t>SAFEGUARDING CHILDREN, YOUNG PEOPLE AND VULNERABLE ADULTS POLICY</w:t>
      </w:r>
    </w:p>
    <w:p>
      <w:pPr>
        <w:pStyle w:val="Normal"/>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EOG’s Designated Safeguarding Officers</w:t>
      </w:r>
    </w:p>
    <w:p>
      <w:pPr>
        <w:pStyle w:val="ListParagraph"/>
        <w:numPr>
          <w:ilvl w:val="0"/>
          <w:numId w:val="2"/>
        </w:numPr>
        <w:jc w:val="both"/>
        <w:rPr>
          <w:rFonts w:ascii="Arial" w:hAnsi="Arial" w:cs="Arial"/>
          <w:sz w:val="24"/>
          <w:szCs w:val="24"/>
        </w:rPr>
      </w:pPr>
      <w:r>
        <w:rPr>
          <w:rFonts w:cs="Arial" w:ascii="Arial" w:hAnsi="Arial"/>
          <w:sz w:val="24"/>
          <w:szCs w:val="24"/>
        </w:rPr>
        <w:t>Our Designated Safeguarding Lead (a member of staff) who co-ordinates child protection, young person and vulnerable adult protection issues is:</w:t>
      </w:r>
    </w:p>
    <w:p>
      <w:pPr>
        <w:pStyle w:val="ListParagraph"/>
        <w:ind w:left="360" w:hanging="0"/>
        <w:jc w:val="both"/>
        <w:rPr>
          <w:rFonts w:ascii="Arial" w:hAnsi="Arial" w:cs="Arial"/>
          <w:sz w:val="24"/>
          <w:szCs w:val="24"/>
        </w:rPr>
      </w:pPr>
      <w:r>
        <w:rPr>
          <w:rFonts w:cs="Arial" w:ascii="Arial" w:hAnsi="Arial"/>
          <w:sz w:val="24"/>
          <w:szCs w:val="24"/>
        </w:rPr>
      </w:r>
    </w:p>
    <w:p>
      <w:pPr>
        <w:pStyle w:val="Normal"/>
        <w:jc w:val="center"/>
        <w:rPr>
          <w:rFonts w:ascii="Arial" w:hAnsi="Arial" w:cs="Arial"/>
          <w:b/>
          <w:b/>
          <w:bCs/>
          <w:sz w:val="24"/>
          <w:szCs w:val="24"/>
        </w:rPr>
      </w:pPr>
      <w:r>
        <w:rPr>
          <w:rFonts w:cs="Arial" w:ascii="Arial" w:hAnsi="Arial"/>
          <w:b/>
          <w:bCs/>
          <w:sz w:val="24"/>
          <w:szCs w:val="24"/>
        </w:rPr>
        <w:t>Sanchia Brandreth – Manager</w:t>
      </w:r>
    </w:p>
    <w:p>
      <w:pPr>
        <w:pStyle w:val="Normal"/>
        <w:jc w:val="both"/>
        <w:rPr>
          <w:rFonts w:ascii="Arial" w:hAnsi="Arial" w:cs="Arial"/>
          <w:b/>
          <w:b/>
          <w:bCs/>
          <w:sz w:val="24"/>
          <w:szCs w:val="24"/>
        </w:rPr>
      </w:pPr>
      <w:r>
        <w:rPr>
          <w:rFonts w:cs="Arial" w:ascii="Arial" w:hAnsi="Arial"/>
          <w:b/>
          <w:bCs/>
          <w:sz w:val="24"/>
          <w:szCs w:val="24"/>
        </w:rPr>
      </w:r>
    </w:p>
    <w:p>
      <w:pPr>
        <w:pStyle w:val="ListParagraph"/>
        <w:numPr>
          <w:ilvl w:val="0"/>
          <w:numId w:val="2"/>
        </w:numPr>
        <w:jc w:val="both"/>
        <w:rPr>
          <w:rFonts w:ascii="Arial" w:hAnsi="Arial" w:cs="Arial"/>
          <w:sz w:val="24"/>
          <w:szCs w:val="24"/>
        </w:rPr>
      </w:pPr>
      <w:r>
        <w:rPr>
          <w:rFonts w:cs="Arial" w:ascii="Arial" w:hAnsi="Arial"/>
          <w:sz w:val="24"/>
          <w:szCs w:val="24"/>
        </w:rPr>
        <w:t xml:space="preserve">When the setting is open, but the Designated Safeguarding Lead is not available, a suitably trained Back-Up Safeguarding Lead, </w:t>
      </w:r>
      <w:r>
        <w:rPr>
          <w:rFonts w:cs="Arial" w:ascii="Arial" w:hAnsi="Arial"/>
          <w:b/>
          <w:bCs/>
          <w:sz w:val="24"/>
          <w:szCs w:val="24"/>
        </w:rPr>
        <w:t>Laura Stretch</w:t>
      </w:r>
      <w:r>
        <w:rPr>
          <w:rFonts w:cs="Arial" w:ascii="Arial" w:hAnsi="Arial"/>
          <w:sz w:val="24"/>
          <w:szCs w:val="24"/>
        </w:rPr>
        <w:t xml:space="preserve">, is available at all times for staff to discuss safeguarding concerns.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2"/>
        </w:numPr>
        <w:jc w:val="both"/>
        <w:rPr>
          <w:rFonts w:ascii="Arial" w:hAnsi="Arial" w:cs="Arial"/>
          <w:sz w:val="24"/>
          <w:szCs w:val="24"/>
        </w:rPr>
      </w:pPr>
      <w:r>
        <w:rPr>
          <w:rFonts w:cs="Arial" w:ascii="Arial" w:hAnsi="Arial"/>
          <w:sz w:val="24"/>
          <w:szCs w:val="24"/>
        </w:rPr>
        <w:t>Our Safeguarding Officer on the Trustee Board (Designated Officer) who oversees this work is:</w:t>
      </w:r>
    </w:p>
    <w:p>
      <w:pPr>
        <w:pStyle w:val="ListParagraph"/>
        <w:jc w:val="both"/>
        <w:rPr>
          <w:rFonts w:ascii="Arial" w:hAnsi="Arial" w:cs="Arial"/>
          <w:sz w:val="24"/>
          <w:szCs w:val="24"/>
        </w:rPr>
      </w:pPr>
      <w:r>
        <w:rPr>
          <w:rFonts w:cs="Arial" w:ascii="Arial" w:hAnsi="Arial"/>
          <w:sz w:val="24"/>
          <w:szCs w:val="24"/>
        </w:rPr>
      </w:r>
    </w:p>
    <w:p>
      <w:pPr>
        <w:pStyle w:val="Normal"/>
        <w:jc w:val="center"/>
        <w:rPr>
          <w:rFonts w:ascii="Arial" w:hAnsi="Arial" w:cs="Arial"/>
          <w:b/>
          <w:b/>
          <w:bCs/>
          <w:sz w:val="24"/>
          <w:szCs w:val="24"/>
          <w:lang w:val="fr-FR"/>
        </w:rPr>
      </w:pPr>
      <w:r>
        <w:rPr>
          <w:rFonts w:cs="Arial" w:ascii="Arial" w:hAnsi="Arial"/>
          <w:b/>
          <w:bCs/>
          <w:sz w:val="24"/>
          <w:szCs w:val="24"/>
          <w:lang w:val="fr-FR"/>
        </w:rPr>
        <w:t xml:space="preserve">Alison Carter </w:t>
      </w:r>
    </w:p>
    <w:p>
      <w:pPr>
        <w:pStyle w:val="Normal"/>
        <w:jc w:val="center"/>
        <w:rPr>
          <w:rFonts w:ascii="Arial" w:hAnsi="Arial" w:cs="Arial"/>
          <w:sz w:val="24"/>
          <w:szCs w:val="24"/>
          <w:lang w:val="fr-FR"/>
        </w:rPr>
      </w:pPr>
      <w:r>
        <w:rPr>
          <w:rFonts w:cs="Arial" w:ascii="Arial" w:hAnsi="Arial"/>
          <w:sz w:val="24"/>
          <w:szCs w:val="24"/>
          <w:lang w:val="fr-FR"/>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Aim</w:t>
      </w:r>
    </w:p>
    <w:p>
      <w:pPr>
        <w:pStyle w:val="ListParagraph"/>
        <w:numPr>
          <w:ilvl w:val="0"/>
          <w:numId w:val="2"/>
        </w:numPr>
        <w:jc w:val="both"/>
        <w:rPr>
          <w:rFonts w:ascii="Arial" w:hAnsi="Arial" w:cs="Arial"/>
          <w:sz w:val="24"/>
          <w:szCs w:val="24"/>
        </w:rPr>
      </w:pPr>
      <w:r>
        <w:rPr>
          <w:rFonts w:cs="Arial" w:ascii="Arial" w:hAnsi="Arial"/>
          <w:sz w:val="24"/>
          <w:szCs w:val="24"/>
        </w:rPr>
        <w:t xml:space="preserve">We are committed to safeguarding children, young people and vulnerable adults and will do this by putting young people and vulnerable adults’ rights to be ‘strong, resilient and listened to ‘at the heart of all our activities. </w:t>
      </w:r>
    </w:p>
    <w:p>
      <w:pPr>
        <w:pStyle w:val="ListParagraph"/>
        <w:numPr>
          <w:ilvl w:val="0"/>
          <w:numId w:val="2"/>
        </w:numPr>
        <w:jc w:val="both"/>
        <w:rPr>
          <w:rFonts w:ascii="Arial" w:hAnsi="Arial" w:cs="Arial"/>
          <w:sz w:val="24"/>
          <w:szCs w:val="24"/>
        </w:rPr>
      </w:pPr>
      <w:r>
        <w:rPr>
          <w:rFonts w:cs="Arial" w:ascii="Arial" w:hAnsi="Arial"/>
          <w:sz w:val="24"/>
          <w:szCs w:val="24"/>
        </w:rPr>
        <w:t>We adhere to The Early Years Alliance’s ‘four commitments’, which are broad statements against which policies and procedures across the organisation will be drawn to provide a consistent and coherent strategy for safeguarding children young people and vulnerable adults in all services provided. The four key commitments are:</w:t>
      </w:r>
    </w:p>
    <w:p>
      <w:pPr>
        <w:pStyle w:val="ListParagraph"/>
        <w:numPr>
          <w:ilvl w:val="0"/>
          <w:numId w:val="3"/>
        </w:numPr>
        <w:jc w:val="both"/>
        <w:rPr>
          <w:rFonts w:ascii="Arial" w:hAnsi="Arial" w:cs="Arial"/>
          <w:sz w:val="24"/>
          <w:szCs w:val="24"/>
        </w:rPr>
      </w:pPr>
      <w:r>
        <w:rPr>
          <w:rFonts w:cs="Arial" w:ascii="Arial" w:hAnsi="Arial"/>
          <w:sz w:val="24"/>
          <w:szCs w:val="24"/>
        </w:rPr>
        <w:t>We are committed to empowering children, young people, and vulnerable adults, promoting their right to be ‘strong, resilient, actively listened to, and heard’. </w:t>
      </w:r>
    </w:p>
    <w:p>
      <w:pPr>
        <w:pStyle w:val="ListParagraph"/>
        <w:numPr>
          <w:ilvl w:val="0"/>
          <w:numId w:val="3"/>
        </w:numPr>
        <w:jc w:val="both"/>
        <w:rPr>
          <w:rFonts w:ascii="Arial" w:hAnsi="Arial" w:cs="Arial"/>
          <w:sz w:val="24"/>
          <w:szCs w:val="24"/>
        </w:rPr>
      </w:pPr>
      <w:r>
        <w:rPr>
          <w:rFonts w:cs="Arial" w:ascii="Arial" w:hAnsi="Arial"/>
          <w:sz w:val="24"/>
          <w:szCs w:val="24"/>
        </w:rPr>
        <w:t>We uphold a culture of safety in which children, young people and vulnerable adults are protected from abuse and harm in all areas of our curriculum and service delivery.  </w:t>
      </w:r>
    </w:p>
    <w:p>
      <w:pPr>
        <w:pStyle w:val="ListParagraph"/>
        <w:numPr>
          <w:ilvl w:val="0"/>
          <w:numId w:val="3"/>
        </w:numPr>
        <w:jc w:val="both"/>
        <w:rPr>
          <w:rFonts w:ascii="Arial" w:hAnsi="Arial" w:cs="Arial"/>
          <w:sz w:val="24"/>
          <w:szCs w:val="24"/>
        </w:rPr>
      </w:pPr>
      <w:r>
        <w:rPr>
          <w:rFonts w:cs="Arial" w:ascii="Arial" w:hAnsi="Arial"/>
          <w:sz w:val="24"/>
          <w:szCs w:val="24"/>
        </w:rPr>
        <w:t>We are committed to preventing harm and responding promptly and appropriately to all incidents or concerns of abuse that may occur. Working with statutory agencies to achieve the best possible outcomes for every child. </w:t>
      </w:r>
    </w:p>
    <w:p>
      <w:pPr>
        <w:pStyle w:val="ListParagraph"/>
        <w:numPr>
          <w:ilvl w:val="0"/>
          <w:numId w:val="3"/>
        </w:numPr>
        <w:jc w:val="both"/>
        <w:rPr>
          <w:rFonts w:ascii="Arial" w:hAnsi="Arial" w:cs="Arial"/>
          <w:sz w:val="24"/>
          <w:szCs w:val="24"/>
        </w:rPr>
      </w:pPr>
      <w:r>
        <w:rPr>
          <w:rFonts w:cs="Arial" w:ascii="Arial" w:hAnsi="Arial"/>
          <w:sz w:val="24"/>
          <w:szCs w:val="24"/>
        </w:rPr>
        <w:t>We are dedicated to increasing safeguarding confidence, knowledge and good practice throughout its training and learning programmes for adults, advocating support and representation for those in greatest need. </w:t>
      </w:r>
    </w:p>
    <w:p>
      <w:pPr>
        <w:pStyle w:val="ListParagraph"/>
        <w:numPr>
          <w:ilvl w:val="0"/>
          <w:numId w:val="2"/>
        </w:numPr>
        <w:jc w:val="both"/>
        <w:rPr>
          <w:rFonts w:ascii="Arial" w:hAnsi="Arial" w:cs="Arial"/>
          <w:sz w:val="24"/>
          <w:szCs w:val="24"/>
        </w:rPr>
      </w:pPr>
      <w:r>
        <w:rPr>
          <w:rFonts w:cs="Arial" w:ascii="Arial" w:hAnsi="Arial"/>
          <w:sz w:val="24"/>
          <w:szCs w:val="24"/>
        </w:rPr>
        <w:t>NB: A ‘young person’ is defined as 16–19-year-old. In an early years setting, they may be a student, worker, or parent.</w:t>
      </w:r>
    </w:p>
    <w:p>
      <w:pPr>
        <w:pStyle w:val="ListParagraph"/>
        <w:numPr>
          <w:ilvl w:val="0"/>
          <w:numId w:val="2"/>
        </w:numPr>
        <w:jc w:val="both"/>
        <w:rPr>
          <w:rFonts w:ascii="Arial" w:hAnsi="Arial" w:cs="Arial"/>
          <w:sz w:val="24"/>
          <w:szCs w:val="24"/>
        </w:rPr>
      </w:pPr>
      <w:r>
        <w:rPr>
          <w:rFonts w:cs="Arial" w:ascii="Arial" w:hAnsi="Arial"/>
          <w:sz w:val="24"/>
          <w:szCs w:val="24"/>
        </w:rPr>
        <w:t xml:space="preserve">A ‘vulnerable adult’ (see guidance to the Care Act 2014) as: 'a person aged 18 years or over, who is in receipt of or may need community care services by reason </w:t>
      </w:r>
      <w:r>
        <w:rPr>
          <w:rFonts w:cs="Arial" w:ascii="Arial" w:hAnsi="Arial"/>
          <w:i/>
          <w:iCs/>
          <w:sz w:val="24"/>
          <w:szCs w:val="24"/>
        </w:rPr>
        <w:t>of 'mental or other disability, age or illness and who is or may be unable to take care of him or herself, or unable to protect him or herself against significant harm or exploitation'</w:t>
      </w:r>
      <w:r>
        <w:rPr>
          <w:rFonts w:cs="Arial" w:ascii="Arial" w:hAnsi="Arial"/>
          <w:sz w:val="24"/>
          <w:szCs w:val="24"/>
        </w:rPr>
        <w:t>. In early years, this person may be a service user, parent of a service user, or a volunteer.</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Key Commitment 1</w:t>
      </w:r>
    </w:p>
    <w:p>
      <w:pPr>
        <w:pStyle w:val="ListParagraph"/>
        <w:numPr>
          <w:ilvl w:val="0"/>
          <w:numId w:val="2"/>
        </w:numPr>
        <w:jc w:val="both"/>
        <w:rPr>
          <w:rFonts w:ascii="Arial" w:hAnsi="Arial" w:cs="Arial"/>
          <w:sz w:val="24"/>
          <w:szCs w:val="24"/>
        </w:rPr>
      </w:pPr>
      <w:r>
        <w:rPr>
          <w:rFonts w:cs="Arial" w:ascii="Arial" w:hAnsi="Arial"/>
          <w:sz w:val="24"/>
          <w:szCs w:val="24"/>
        </w:rPr>
        <w:t>All staff receive adequate training in child protection matters and have access to the setting’s policy and procedures for reporting concerns of possible abuse and the safeguarding procedures of the Local Safeguarding Partners.</w:t>
      </w:r>
    </w:p>
    <w:p>
      <w:pPr>
        <w:pStyle w:val="ListParagraph"/>
        <w:numPr>
          <w:ilvl w:val="0"/>
          <w:numId w:val="2"/>
        </w:numPr>
        <w:jc w:val="both"/>
        <w:rPr>
          <w:rFonts w:ascii="Arial" w:hAnsi="Arial" w:cs="Arial"/>
          <w:sz w:val="24"/>
          <w:szCs w:val="24"/>
        </w:rPr>
      </w:pPr>
      <w:r>
        <w:rPr>
          <w:rFonts w:cs="Arial" w:ascii="Arial" w:hAnsi="Arial"/>
          <w:sz w:val="24"/>
          <w:szCs w:val="24"/>
        </w:rPr>
        <w:t xml:space="preserve">All staff have adequate information on issues affecting vulnerability in families such as social exclusion, domestic violence, mental illness, substance misuse and parental learning disability, together with training that takes account of factors that affect children that arise from inequalities of race, gender, disability, language, religion, sexual orientation, or culture. </w:t>
      </w:r>
    </w:p>
    <w:p>
      <w:pPr>
        <w:pStyle w:val="ListParagraph"/>
        <w:numPr>
          <w:ilvl w:val="0"/>
          <w:numId w:val="2"/>
        </w:numPr>
        <w:jc w:val="both"/>
        <w:rPr>
          <w:rFonts w:ascii="Arial" w:hAnsi="Arial" w:cs="Arial"/>
          <w:sz w:val="24"/>
          <w:szCs w:val="24"/>
        </w:rPr>
      </w:pPr>
      <w:r>
        <w:rPr>
          <w:rFonts w:cs="Arial" w:ascii="Arial" w:hAnsi="Arial"/>
          <w:sz w:val="24"/>
          <w:szCs w:val="24"/>
        </w:rPr>
        <w:t>We use available curriculum materials for young children, taking account of information in the Early Years Foundation Stage, that enable children to be strong, resilient, and listened to and heard.</w:t>
      </w:r>
    </w:p>
    <w:p>
      <w:pPr>
        <w:pStyle w:val="ListParagraph"/>
        <w:numPr>
          <w:ilvl w:val="0"/>
          <w:numId w:val="2"/>
        </w:numPr>
        <w:jc w:val="both"/>
        <w:rPr>
          <w:rFonts w:ascii="Arial" w:hAnsi="Arial" w:cs="Arial"/>
          <w:sz w:val="24"/>
          <w:szCs w:val="24"/>
        </w:rPr>
      </w:pPr>
      <w:r>
        <w:rPr>
          <w:rFonts w:cs="Arial" w:ascii="Arial" w:hAnsi="Arial"/>
          <w:sz w:val="24"/>
          <w:szCs w:val="24"/>
        </w:rPr>
        <w:t>All services seek to build the emotional and social skills of children and young people who are service users in an age-appropriate way, including increasing their understanding of how to stay safe.</w:t>
      </w:r>
    </w:p>
    <w:p>
      <w:pPr>
        <w:pStyle w:val="ListParagraph"/>
        <w:numPr>
          <w:ilvl w:val="0"/>
          <w:numId w:val="2"/>
        </w:numPr>
        <w:jc w:val="both"/>
        <w:rPr>
          <w:rFonts w:ascii="Arial" w:hAnsi="Arial" w:cs="Arial"/>
          <w:sz w:val="24"/>
          <w:szCs w:val="24"/>
        </w:rPr>
      </w:pPr>
      <w:r>
        <w:rPr>
          <w:rFonts w:cs="Arial" w:ascii="Arial" w:hAnsi="Arial"/>
          <w:sz w:val="24"/>
          <w:szCs w:val="24"/>
        </w:rPr>
        <w:t>We adhere to the EYFS Safeguarding and Welfare requirements.</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Key Commitment 2</w:t>
      </w:r>
    </w:p>
    <w:p>
      <w:pPr>
        <w:pStyle w:val="ListParagraph"/>
        <w:numPr>
          <w:ilvl w:val="0"/>
          <w:numId w:val="2"/>
        </w:numPr>
        <w:jc w:val="both"/>
        <w:rPr>
          <w:rFonts w:ascii="Arial" w:hAnsi="Arial" w:cs="Arial"/>
          <w:sz w:val="24"/>
          <w:szCs w:val="24"/>
        </w:rPr>
      </w:pPr>
      <w:r>
        <w:rPr>
          <w:rFonts w:cs="Arial" w:ascii="Arial" w:hAnsi="Arial"/>
          <w:sz w:val="24"/>
          <w:szCs w:val="24"/>
        </w:rPr>
        <w:t xml:space="preserve">All staff are trained in line with the Criteria set out in Annex C of the EYFS (November 2025). </w:t>
        <w:br/>
        <w:t>Safeguarding training is renewed every two years. The designated safeguarding lead ensures support, advice and guidance for all staff to meet their safeguarding responsibilities by:</w:t>
      </w:r>
    </w:p>
    <w:p>
      <w:pPr>
        <w:pStyle w:val="ListParagraph"/>
        <w:numPr>
          <w:ilvl w:val="1"/>
          <w:numId w:val="2"/>
        </w:numPr>
        <w:jc w:val="both"/>
        <w:rPr>
          <w:rFonts w:ascii="Arial" w:hAnsi="Arial" w:cs="Arial"/>
          <w:sz w:val="24"/>
          <w:szCs w:val="24"/>
        </w:rPr>
      </w:pPr>
      <w:r>
        <w:rPr>
          <w:rFonts w:cs="Arial" w:ascii="Arial" w:hAnsi="Arial"/>
          <w:sz w:val="24"/>
          <w:szCs w:val="24"/>
        </w:rPr>
        <w:t>Regular supervision and 1:1 Team briefings, bulletins, reviewing safeguarding procedures together</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to prevent known abusers from coming into the organisation as employees or volunteers at any level.</w:t>
      </w:r>
    </w:p>
    <w:p>
      <w:pPr>
        <w:pStyle w:val="ListParagraph"/>
        <w:numPr>
          <w:ilvl w:val="0"/>
          <w:numId w:val="2"/>
        </w:numPr>
        <w:jc w:val="both"/>
        <w:rPr>
          <w:rFonts w:ascii="Arial" w:hAnsi="Arial" w:cs="Arial"/>
          <w:sz w:val="24"/>
          <w:szCs w:val="24"/>
        </w:rPr>
      </w:pPr>
      <w:r>
        <w:rPr>
          <w:rFonts w:cs="Arial" w:ascii="Arial" w:hAnsi="Arial"/>
          <w:sz w:val="24"/>
          <w:szCs w:val="24"/>
        </w:rPr>
        <w:t>Safeguarding is the responsibility of every person undertaking the work of the organisation in any capacity.</w:t>
      </w:r>
    </w:p>
    <w:p>
      <w:pPr>
        <w:pStyle w:val="ListParagraph"/>
        <w:numPr>
          <w:ilvl w:val="0"/>
          <w:numId w:val="2"/>
        </w:numPr>
        <w:jc w:val="both"/>
        <w:rPr>
          <w:rFonts w:ascii="Arial" w:hAnsi="Arial" w:cs="Arial"/>
          <w:sz w:val="24"/>
          <w:szCs w:val="24"/>
        </w:rPr>
      </w:pPr>
      <w:r>
        <w:rPr>
          <w:rFonts w:cs="Arial" w:ascii="Arial" w:hAnsi="Arial"/>
          <w:sz w:val="24"/>
          <w:szCs w:val="24"/>
        </w:rPr>
        <w:t>There are procedures for dealing with allegations of abuse against a member of staff, or any other person undertaking work whether paid or unpaid for the organisation, where there is an allegation of abuse or harm of a child. Procedures differentiate clearly between an allegation, a concern about quality of care or practice and complaints.</w:t>
      </w:r>
    </w:p>
    <w:p>
      <w:pPr>
        <w:pStyle w:val="ListParagraph"/>
        <w:numPr>
          <w:ilvl w:val="0"/>
          <w:numId w:val="2"/>
        </w:numPr>
        <w:jc w:val="both"/>
        <w:rPr>
          <w:rFonts w:ascii="Arial" w:hAnsi="Arial" w:cs="Arial"/>
          <w:sz w:val="24"/>
          <w:szCs w:val="24"/>
        </w:rPr>
      </w:pPr>
      <w:r>
        <w:rPr>
          <w:rFonts w:cs="Arial" w:ascii="Arial" w:hAnsi="Arial"/>
          <w:sz w:val="24"/>
          <w:szCs w:val="24"/>
        </w:rPr>
        <w:t xml:space="preserve">There are procedures in place for reporting possible abuse of children or a young person in the setting. </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for reporting safeguarding concerns where a child may meet the s17 definition of a child in need (Children Act 1989) and/or where a child may be at risk of significant harm, and to enable staff to make decisions about appropriate referrals using local published threshold documents.</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for reporting possible abuse of a vulnerable adult in the setting.</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in relation to escalating concerns and professional challenge.</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for working in partnership with agencies involving a child, or young person or vulnerable adult, for whom there is a protection plan in place. These procedures also take account of working with families with a ‘child in need’ and with families in need of early help, who are affected by issues of vulnerability such as social exclusion, radicalisation, domestic violence, mental illness, substance misuse and parental learning disability.</w:t>
      </w:r>
    </w:p>
    <w:p>
      <w:pPr>
        <w:pStyle w:val="ListParagraph"/>
        <w:numPr>
          <w:ilvl w:val="0"/>
          <w:numId w:val="2"/>
        </w:numPr>
        <w:jc w:val="both"/>
        <w:rPr>
          <w:rFonts w:ascii="Arial" w:hAnsi="Arial" w:cs="Arial"/>
          <w:sz w:val="24"/>
          <w:szCs w:val="24"/>
        </w:rPr>
      </w:pPr>
      <w:r>
        <w:rPr>
          <w:rFonts w:cs="Arial" w:ascii="Arial" w:hAnsi="Arial"/>
          <w:sz w:val="24"/>
          <w:szCs w:val="24"/>
        </w:rPr>
        <w:t xml:space="preserve">These procedures take account of diversity and inclusion issues to promote equal treatment of children and their families and that take account of factors that affect children that arise from inequalities of race, gender, disability, language, religion, sexual orientation, or culture. </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for record keeping, confidentiality and information sharing, which are in line with data protection requirements.</w:t>
      </w:r>
    </w:p>
    <w:p>
      <w:pPr>
        <w:pStyle w:val="ListParagraph"/>
        <w:numPr>
          <w:ilvl w:val="0"/>
          <w:numId w:val="2"/>
        </w:numPr>
        <w:jc w:val="both"/>
        <w:rPr>
          <w:rFonts w:ascii="Arial" w:hAnsi="Arial" w:cs="Arial"/>
          <w:sz w:val="24"/>
          <w:szCs w:val="24"/>
        </w:rPr>
      </w:pPr>
      <w:r>
        <w:rPr>
          <w:rFonts w:cs="Arial" w:ascii="Arial" w:hAnsi="Arial"/>
          <w:sz w:val="24"/>
          <w:szCs w:val="24"/>
        </w:rPr>
        <w:t xml:space="preserve">We follow government and Local Safeguarding Partners guidance in relation to extremism. </w:t>
      </w:r>
    </w:p>
    <w:p>
      <w:pPr>
        <w:pStyle w:val="ListParagraph"/>
        <w:numPr>
          <w:ilvl w:val="0"/>
          <w:numId w:val="2"/>
        </w:numPr>
        <w:jc w:val="both"/>
        <w:rPr>
          <w:rFonts w:ascii="Arial" w:hAnsi="Arial" w:cs="Arial"/>
          <w:sz w:val="24"/>
          <w:szCs w:val="24"/>
        </w:rPr>
      </w:pPr>
      <w:r>
        <w:rPr>
          <w:rFonts w:cs="Arial" w:ascii="Arial" w:hAnsi="Arial"/>
          <w:sz w:val="24"/>
          <w:szCs w:val="24"/>
        </w:rPr>
        <w:t>The procedures of the Local Safeguarding Partners must be followed.</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Key Commitment 3</w:t>
      </w:r>
    </w:p>
    <w:p>
      <w:pPr>
        <w:pStyle w:val="ListParagraph"/>
        <w:numPr>
          <w:ilvl w:val="0"/>
          <w:numId w:val="2"/>
        </w:numPr>
        <w:jc w:val="both"/>
        <w:rPr>
          <w:rFonts w:ascii="Arial" w:hAnsi="Arial" w:cs="Arial"/>
          <w:sz w:val="24"/>
          <w:szCs w:val="24"/>
        </w:rPr>
      </w:pPr>
      <w:r>
        <w:rPr>
          <w:rFonts w:cs="Arial" w:ascii="Arial" w:hAnsi="Arial"/>
          <w:sz w:val="24"/>
          <w:szCs w:val="24"/>
        </w:rPr>
        <w:t>We have a ‘designated safeguarding lead person’, who is responsible for carrying out child, young person, or adult protection procedures. (It is recommended that this person is the setting manager.)</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reports to a ‘designated officer’ responsible for overseeing all child, young person or adult protection matters. (It is usually the person who line manages the manager.)</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and the ‘designated officer’ ensure they have links with statutory and voluntary organisations regarding safeguarding children.</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and the ‘designated officer’ ensure they have received appropriate training on child protection matters and that all staff are adequately informed and/or trained to recognise possible child abuse in the categories of physical, emotional and sexual abuse and neglect.</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and the ‘designated officer’ ensure all staff are aware of the additional vulnerabilities that affect children that arise from inequalities of race, gender, disability, language, religion, sexual orientation or culture and that these receive full consideration in child, young person or adult protection related matters.</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and the ‘designated officer’ ensure that staff are aware and receive training in social factors affecting children’s vulnerability including, but not limited to:</w:t>
      </w:r>
    </w:p>
    <w:p>
      <w:pPr>
        <w:pStyle w:val="ListParagraph"/>
        <w:numPr>
          <w:ilvl w:val="1"/>
          <w:numId w:val="2"/>
        </w:numPr>
        <w:jc w:val="both"/>
        <w:rPr>
          <w:rFonts w:ascii="Arial" w:hAnsi="Arial" w:cs="Arial"/>
          <w:sz w:val="24"/>
          <w:szCs w:val="24"/>
        </w:rPr>
      </w:pPr>
      <w:r>
        <w:rPr>
          <w:rFonts w:cs="Arial" w:ascii="Arial" w:hAnsi="Arial"/>
          <w:sz w:val="24"/>
          <w:szCs w:val="24"/>
        </w:rPr>
        <w:t>social exclusion</w:t>
      </w:r>
    </w:p>
    <w:p>
      <w:pPr>
        <w:pStyle w:val="ListParagraph"/>
        <w:numPr>
          <w:ilvl w:val="1"/>
          <w:numId w:val="2"/>
        </w:numPr>
        <w:jc w:val="both"/>
        <w:rPr>
          <w:rFonts w:ascii="Arial" w:hAnsi="Arial" w:cs="Arial"/>
          <w:sz w:val="24"/>
          <w:szCs w:val="24"/>
        </w:rPr>
      </w:pPr>
      <w:r>
        <w:rPr>
          <w:rFonts w:cs="Arial" w:ascii="Arial" w:hAnsi="Arial"/>
          <w:sz w:val="24"/>
          <w:szCs w:val="24"/>
        </w:rPr>
        <w:t>domestic violence and controlling or coercive behaviour</w:t>
      </w:r>
    </w:p>
    <w:p>
      <w:pPr>
        <w:pStyle w:val="ListParagraph"/>
        <w:numPr>
          <w:ilvl w:val="1"/>
          <w:numId w:val="2"/>
        </w:numPr>
        <w:jc w:val="both"/>
        <w:rPr>
          <w:rFonts w:ascii="Arial" w:hAnsi="Arial" w:cs="Arial"/>
          <w:sz w:val="24"/>
          <w:szCs w:val="24"/>
        </w:rPr>
      </w:pPr>
      <w:r>
        <w:rPr>
          <w:rFonts w:cs="Arial" w:ascii="Arial" w:hAnsi="Arial"/>
          <w:sz w:val="24"/>
          <w:szCs w:val="24"/>
        </w:rPr>
        <w:t>mental Illness</w:t>
      </w:r>
    </w:p>
    <w:p>
      <w:pPr>
        <w:pStyle w:val="ListParagraph"/>
        <w:numPr>
          <w:ilvl w:val="1"/>
          <w:numId w:val="2"/>
        </w:numPr>
        <w:jc w:val="both"/>
        <w:rPr>
          <w:rFonts w:ascii="Arial" w:hAnsi="Arial" w:cs="Arial"/>
          <w:sz w:val="24"/>
          <w:szCs w:val="24"/>
        </w:rPr>
      </w:pPr>
      <w:r>
        <w:rPr>
          <w:rFonts w:cs="Arial" w:ascii="Arial" w:hAnsi="Arial"/>
          <w:sz w:val="24"/>
          <w:szCs w:val="24"/>
        </w:rPr>
        <w:t>drug and alcohol abuse (substance misuse)</w:t>
      </w:r>
    </w:p>
    <w:p>
      <w:pPr>
        <w:pStyle w:val="ListParagraph"/>
        <w:numPr>
          <w:ilvl w:val="1"/>
          <w:numId w:val="2"/>
        </w:numPr>
        <w:jc w:val="both"/>
        <w:rPr>
          <w:rFonts w:ascii="Arial" w:hAnsi="Arial" w:cs="Arial"/>
          <w:sz w:val="24"/>
          <w:szCs w:val="24"/>
        </w:rPr>
      </w:pPr>
      <w:r>
        <w:rPr>
          <w:rFonts w:cs="Arial" w:ascii="Arial" w:hAnsi="Arial"/>
          <w:sz w:val="24"/>
          <w:szCs w:val="24"/>
        </w:rPr>
        <w:t>parental/carer learning disability</w:t>
      </w:r>
    </w:p>
    <w:p>
      <w:pPr>
        <w:pStyle w:val="ListParagraph"/>
        <w:numPr>
          <w:ilvl w:val="1"/>
          <w:numId w:val="2"/>
        </w:numPr>
        <w:jc w:val="both"/>
        <w:rPr>
          <w:rFonts w:ascii="Arial" w:hAnsi="Arial" w:cs="Arial"/>
          <w:sz w:val="24"/>
          <w:szCs w:val="24"/>
        </w:rPr>
      </w:pPr>
      <w:r>
        <w:rPr>
          <w:rFonts w:cs="Arial" w:ascii="Arial" w:hAnsi="Arial"/>
          <w:sz w:val="24"/>
          <w:szCs w:val="24"/>
        </w:rPr>
        <w:t>radicalisation</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ensures that staff are aware and receive training in other ways that children may suffer significant harm and stay up to date with relevant contextual safeguarding matters:</w:t>
      </w:r>
    </w:p>
    <w:p>
      <w:pPr>
        <w:pStyle w:val="ListParagraph"/>
        <w:numPr>
          <w:ilvl w:val="1"/>
          <w:numId w:val="2"/>
        </w:numPr>
        <w:jc w:val="both"/>
        <w:rPr>
          <w:rFonts w:ascii="Arial" w:hAnsi="Arial" w:cs="Arial"/>
          <w:sz w:val="24"/>
          <w:szCs w:val="24"/>
        </w:rPr>
      </w:pPr>
      <w:r>
        <w:rPr>
          <w:rFonts w:cs="Arial" w:ascii="Arial" w:hAnsi="Arial"/>
          <w:sz w:val="24"/>
          <w:szCs w:val="24"/>
        </w:rPr>
        <w:t>abuse of disabled children</w:t>
      </w:r>
    </w:p>
    <w:p>
      <w:pPr>
        <w:pStyle w:val="ListParagraph"/>
        <w:numPr>
          <w:ilvl w:val="1"/>
          <w:numId w:val="2"/>
        </w:numPr>
        <w:jc w:val="both"/>
        <w:rPr>
          <w:rFonts w:ascii="Arial" w:hAnsi="Arial" w:cs="Arial"/>
          <w:sz w:val="24"/>
          <w:szCs w:val="24"/>
        </w:rPr>
      </w:pPr>
      <w:r>
        <w:rPr>
          <w:rFonts w:cs="Arial" w:ascii="Arial" w:hAnsi="Arial"/>
          <w:sz w:val="24"/>
          <w:szCs w:val="24"/>
        </w:rPr>
        <w:t>fabricated or induced illness</w:t>
      </w:r>
    </w:p>
    <w:p>
      <w:pPr>
        <w:pStyle w:val="ListParagraph"/>
        <w:numPr>
          <w:ilvl w:val="1"/>
          <w:numId w:val="2"/>
        </w:numPr>
        <w:jc w:val="both"/>
        <w:rPr>
          <w:rFonts w:ascii="Arial" w:hAnsi="Arial" w:cs="Arial"/>
          <w:sz w:val="24"/>
          <w:szCs w:val="24"/>
        </w:rPr>
      </w:pPr>
      <w:r>
        <w:rPr>
          <w:rFonts w:cs="Arial" w:ascii="Arial" w:hAnsi="Arial"/>
          <w:sz w:val="24"/>
          <w:szCs w:val="24"/>
        </w:rPr>
        <w:t>child abuse linked to spirit possession</w:t>
      </w:r>
    </w:p>
    <w:p>
      <w:pPr>
        <w:pStyle w:val="ListParagraph"/>
        <w:numPr>
          <w:ilvl w:val="1"/>
          <w:numId w:val="2"/>
        </w:numPr>
        <w:jc w:val="both"/>
        <w:rPr>
          <w:rFonts w:ascii="Arial" w:hAnsi="Arial" w:cs="Arial"/>
          <w:sz w:val="24"/>
          <w:szCs w:val="24"/>
        </w:rPr>
      </w:pPr>
      <w:r>
        <w:rPr>
          <w:rFonts w:cs="Arial" w:ascii="Arial" w:hAnsi="Arial"/>
          <w:sz w:val="24"/>
          <w:szCs w:val="24"/>
        </w:rPr>
        <w:t>sexually exploited children</w:t>
      </w:r>
    </w:p>
    <w:p>
      <w:pPr>
        <w:pStyle w:val="ListParagraph"/>
        <w:numPr>
          <w:ilvl w:val="1"/>
          <w:numId w:val="2"/>
        </w:numPr>
        <w:jc w:val="both"/>
        <w:rPr>
          <w:rFonts w:ascii="Arial" w:hAnsi="Arial" w:cs="Arial"/>
          <w:sz w:val="24"/>
          <w:szCs w:val="24"/>
        </w:rPr>
      </w:pPr>
      <w:r>
        <w:rPr>
          <w:rFonts w:cs="Arial" w:ascii="Arial" w:hAnsi="Arial"/>
          <w:sz w:val="24"/>
          <w:szCs w:val="24"/>
        </w:rPr>
        <w:t>children who are trafficked and/or exploited</w:t>
      </w:r>
    </w:p>
    <w:p>
      <w:pPr>
        <w:pStyle w:val="ListParagraph"/>
        <w:numPr>
          <w:ilvl w:val="1"/>
          <w:numId w:val="2"/>
        </w:numPr>
        <w:jc w:val="both"/>
        <w:rPr>
          <w:rFonts w:ascii="Arial" w:hAnsi="Arial" w:cs="Arial"/>
          <w:sz w:val="24"/>
          <w:szCs w:val="24"/>
        </w:rPr>
      </w:pPr>
      <w:r>
        <w:rPr>
          <w:rFonts w:cs="Arial" w:ascii="Arial" w:hAnsi="Arial"/>
          <w:sz w:val="24"/>
          <w:szCs w:val="24"/>
        </w:rPr>
        <w:t xml:space="preserve">female genital mutilation </w:t>
      </w:r>
    </w:p>
    <w:p>
      <w:pPr>
        <w:pStyle w:val="ListParagraph"/>
        <w:numPr>
          <w:ilvl w:val="1"/>
          <w:numId w:val="2"/>
        </w:numPr>
        <w:jc w:val="both"/>
        <w:rPr>
          <w:rFonts w:ascii="Arial" w:hAnsi="Arial" w:cs="Arial"/>
          <w:sz w:val="24"/>
          <w:szCs w:val="24"/>
        </w:rPr>
      </w:pPr>
      <w:r>
        <w:rPr>
          <w:rFonts w:cs="Arial" w:ascii="Arial" w:hAnsi="Arial"/>
          <w:sz w:val="24"/>
          <w:szCs w:val="24"/>
        </w:rPr>
        <w:t>extra-familial abuse and threats</w:t>
      </w:r>
    </w:p>
    <w:p>
      <w:pPr>
        <w:pStyle w:val="ListParagraph"/>
        <w:numPr>
          <w:ilvl w:val="1"/>
          <w:numId w:val="2"/>
        </w:numPr>
        <w:jc w:val="both"/>
        <w:rPr>
          <w:rFonts w:ascii="Arial" w:hAnsi="Arial" w:cs="Arial"/>
          <w:sz w:val="24"/>
          <w:szCs w:val="24"/>
        </w:rPr>
      </w:pPr>
      <w:r>
        <w:rPr>
          <w:rFonts w:cs="Arial" w:ascii="Arial" w:hAnsi="Arial"/>
          <w:sz w:val="24"/>
          <w:szCs w:val="24"/>
        </w:rPr>
        <w:t>children involved in violent offending, with gangs and county lines.</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and the ‘designated officer’ ensure they are adequately informed in vulnerable adult protection matters.</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Key commitment 4</w:t>
      </w:r>
    </w:p>
    <w:p>
      <w:pPr>
        <w:pStyle w:val="ListParagraph"/>
        <w:numPr>
          <w:ilvl w:val="0"/>
          <w:numId w:val="2"/>
        </w:numPr>
        <w:jc w:val="both"/>
        <w:rPr>
          <w:rFonts w:ascii="Arial" w:hAnsi="Arial" w:cs="Arial"/>
          <w:sz w:val="24"/>
          <w:szCs w:val="24"/>
        </w:rPr>
      </w:pPr>
      <w:r>
        <w:rPr>
          <w:rFonts w:cs="Arial" w:ascii="Arial" w:hAnsi="Arial"/>
          <w:sz w:val="24"/>
          <w:szCs w:val="24"/>
        </w:rPr>
        <w:t>There are procedures in place to ensure staff recognise children and families who may benefit from early help and can respond using local early help processes. Designated safeguarding leads should ensure all staff understand how to identify and respond to families who may need early help.</w:t>
      </w:r>
    </w:p>
    <w:p>
      <w:pPr>
        <w:pStyle w:val="ListParagraph"/>
        <w:numPr>
          <w:ilvl w:val="0"/>
          <w:numId w:val="2"/>
        </w:numPr>
        <w:jc w:val="both"/>
        <w:rPr>
          <w:rFonts w:ascii="Arial" w:hAnsi="Arial" w:cs="Arial"/>
          <w:sz w:val="24"/>
          <w:szCs w:val="24"/>
        </w:rPr>
      </w:pPr>
      <w:r>
        <w:rPr>
          <w:rFonts w:cs="Arial" w:ascii="Arial" w:hAnsi="Arial"/>
          <w:sz w:val="24"/>
          <w:szCs w:val="24"/>
        </w:rPr>
        <w:t>Staff are supported to make the right decisions that enable timely and appropriate action to be taken.</w:t>
      </w:r>
    </w:p>
    <w:p>
      <w:pPr>
        <w:pStyle w:val="ListParagraph"/>
        <w:numPr>
          <w:ilvl w:val="0"/>
          <w:numId w:val="2"/>
        </w:numPr>
        <w:jc w:val="both"/>
        <w:rPr>
          <w:rFonts w:ascii="Arial" w:hAnsi="Arial" w:cs="Arial"/>
          <w:sz w:val="24"/>
          <w:szCs w:val="24"/>
        </w:rPr>
      </w:pPr>
      <w:r>
        <w:rPr>
          <w:rFonts w:cs="Arial" w:ascii="Arial" w:hAnsi="Arial"/>
          <w:sz w:val="24"/>
          <w:szCs w:val="24"/>
        </w:rPr>
        <w:t>Designated Safeguarding Leads contribute towards local safeguarding arrangements to ensure that the views of the sector are heard at the highest level by:</w:t>
      </w:r>
    </w:p>
    <w:p>
      <w:pPr>
        <w:pStyle w:val="ListParagraph"/>
        <w:numPr>
          <w:ilvl w:val="1"/>
          <w:numId w:val="2"/>
        </w:numPr>
        <w:jc w:val="both"/>
        <w:rPr>
          <w:rFonts w:ascii="Arial" w:hAnsi="Arial" w:cs="Arial"/>
          <w:sz w:val="24"/>
          <w:szCs w:val="24"/>
        </w:rPr>
      </w:pPr>
      <w:r>
        <w:rPr>
          <w:rFonts w:cs="Arial" w:ascii="Arial" w:hAnsi="Arial"/>
          <w:sz w:val="24"/>
          <w:szCs w:val="24"/>
        </w:rPr>
        <w:t>Finding out how education and childcare are represented at a strategic level within their Local Safeguarding Partnership (LSP) structures.</w:t>
      </w:r>
    </w:p>
    <w:p>
      <w:pPr>
        <w:pStyle w:val="ListParagraph"/>
        <w:numPr>
          <w:ilvl w:val="1"/>
          <w:numId w:val="2"/>
        </w:numPr>
        <w:jc w:val="both"/>
        <w:rPr>
          <w:rFonts w:ascii="Arial" w:hAnsi="Arial" w:cs="Arial"/>
          <w:sz w:val="24"/>
          <w:szCs w:val="24"/>
        </w:rPr>
      </w:pPr>
      <w:r>
        <w:rPr>
          <w:rFonts w:cs="Arial" w:ascii="Arial" w:hAnsi="Arial"/>
          <w:sz w:val="24"/>
          <w:szCs w:val="24"/>
        </w:rPr>
        <w:t xml:space="preserve">Sharing their knowledge of the experiences of children in their cohort with LSP local leaders </w:t>
        <w:tab/>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Legal references</w:t>
      </w:r>
    </w:p>
    <w:p>
      <w:pPr>
        <w:pStyle w:val="Normal"/>
        <w:jc w:val="both"/>
        <w:rPr>
          <w:rFonts w:ascii="Arial" w:hAnsi="Arial" w:cs="Arial"/>
          <w:i/>
          <w:i/>
          <w:iCs/>
          <w:sz w:val="24"/>
          <w:szCs w:val="24"/>
        </w:rPr>
      </w:pPr>
      <w:r>
        <w:rPr>
          <w:rFonts w:cs="Arial" w:ascii="Arial" w:hAnsi="Arial"/>
          <w:i/>
          <w:iCs/>
          <w:sz w:val="24"/>
          <w:szCs w:val="24"/>
        </w:rPr>
        <w:t>Primary legislation</w:t>
      </w:r>
    </w:p>
    <w:p>
      <w:pPr>
        <w:pStyle w:val="Normal"/>
        <w:jc w:val="both"/>
        <w:rPr>
          <w:rFonts w:ascii="Arial" w:hAnsi="Arial" w:cs="Arial"/>
          <w:sz w:val="24"/>
          <w:szCs w:val="24"/>
        </w:rPr>
      </w:pPr>
      <w:r>
        <w:rPr>
          <w:rFonts w:cs="Arial" w:ascii="Arial" w:hAnsi="Arial"/>
          <w:sz w:val="24"/>
          <w:szCs w:val="24"/>
        </w:rPr>
        <w:t>Children Act 1989 – s 47</w:t>
      </w:r>
    </w:p>
    <w:p>
      <w:pPr>
        <w:pStyle w:val="Normal"/>
        <w:jc w:val="both"/>
        <w:rPr>
          <w:rFonts w:ascii="Arial" w:hAnsi="Arial" w:cs="Arial"/>
          <w:sz w:val="24"/>
          <w:szCs w:val="24"/>
        </w:rPr>
      </w:pPr>
      <w:r>
        <w:rPr>
          <w:rFonts w:cs="Arial" w:ascii="Arial" w:hAnsi="Arial"/>
          <w:sz w:val="24"/>
          <w:szCs w:val="24"/>
        </w:rPr>
        <w:t>Protection of Children Act 1999</w:t>
      </w:r>
    </w:p>
    <w:p>
      <w:pPr>
        <w:pStyle w:val="Normal"/>
        <w:jc w:val="both"/>
        <w:rPr>
          <w:rFonts w:ascii="Arial" w:hAnsi="Arial" w:cs="Arial"/>
          <w:sz w:val="24"/>
          <w:szCs w:val="24"/>
        </w:rPr>
      </w:pPr>
      <w:r>
        <w:rPr>
          <w:rFonts w:cs="Arial" w:ascii="Arial" w:hAnsi="Arial"/>
          <w:sz w:val="24"/>
          <w:szCs w:val="24"/>
        </w:rPr>
        <w:t>Care Act 2014</w:t>
      </w:r>
    </w:p>
    <w:p>
      <w:pPr>
        <w:pStyle w:val="Normal"/>
        <w:jc w:val="both"/>
        <w:rPr>
          <w:rFonts w:ascii="Arial" w:hAnsi="Arial" w:cs="Arial"/>
          <w:sz w:val="24"/>
          <w:szCs w:val="24"/>
        </w:rPr>
      </w:pPr>
      <w:r>
        <w:rPr>
          <w:rFonts w:cs="Arial" w:ascii="Arial" w:hAnsi="Arial"/>
          <w:sz w:val="24"/>
          <w:szCs w:val="24"/>
        </w:rPr>
        <w:t>Children Act 2004 s11</w:t>
      </w:r>
    </w:p>
    <w:p>
      <w:pPr>
        <w:pStyle w:val="Normal"/>
        <w:jc w:val="both"/>
        <w:rPr>
          <w:rFonts w:ascii="Arial" w:hAnsi="Arial" w:cs="Arial"/>
          <w:sz w:val="24"/>
          <w:szCs w:val="24"/>
        </w:rPr>
      </w:pPr>
      <w:r>
        <w:rPr>
          <w:rFonts w:cs="Arial" w:ascii="Arial" w:hAnsi="Arial"/>
          <w:sz w:val="24"/>
          <w:szCs w:val="24"/>
        </w:rPr>
        <w:t>Children and Social Work Act 2017</w:t>
      </w:r>
    </w:p>
    <w:p>
      <w:pPr>
        <w:pStyle w:val="Normal"/>
        <w:jc w:val="both"/>
        <w:rPr>
          <w:rFonts w:ascii="Arial" w:hAnsi="Arial" w:cs="Arial"/>
          <w:sz w:val="24"/>
          <w:szCs w:val="24"/>
        </w:rPr>
      </w:pPr>
      <w:r>
        <w:rPr>
          <w:rFonts w:cs="Arial" w:ascii="Arial" w:hAnsi="Arial"/>
          <w:sz w:val="24"/>
          <w:szCs w:val="24"/>
        </w:rPr>
        <w:t>Safeguarding Vulnerable Groups Act 2006</w:t>
      </w:r>
    </w:p>
    <w:p>
      <w:pPr>
        <w:pStyle w:val="Normal"/>
        <w:jc w:val="both"/>
        <w:rPr>
          <w:rFonts w:ascii="Arial" w:hAnsi="Arial" w:cs="Arial"/>
          <w:sz w:val="24"/>
          <w:szCs w:val="24"/>
        </w:rPr>
      </w:pPr>
      <w:r>
        <w:rPr>
          <w:rFonts w:cs="Arial" w:ascii="Arial" w:hAnsi="Arial"/>
          <w:sz w:val="24"/>
          <w:szCs w:val="24"/>
        </w:rPr>
        <w:t>Counter-Terrorism and Security Act 2015</w:t>
      </w:r>
    </w:p>
    <w:p>
      <w:pPr>
        <w:pStyle w:val="Normal"/>
        <w:jc w:val="both"/>
        <w:rPr>
          <w:rFonts w:ascii="Arial" w:hAnsi="Arial" w:cs="Arial"/>
          <w:sz w:val="24"/>
          <w:szCs w:val="24"/>
        </w:rPr>
      </w:pPr>
      <w:r>
        <w:rPr>
          <w:rFonts w:cs="Arial" w:ascii="Arial" w:hAnsi="Arial"/>
          <w:sz w:val="24"/>
          <w:szCs w:val="24"/>
        </w:rPr>
        <w:t>General Data Protection Regulation 2018</w:t>
      </w:r>
    </w:p>
    <w:p>
      <w:pPr>
        <w:pStyle w:val="Normal"/>
        <w:jc w:val="both"/>
        <w:rPr>
          <w:rFonts w:ascii="Arial" w:hAnsi="Arial" w:cs="Arial"/>
          <w:sz w:val="24"/>
          <w:szCs w:val="24"/>
        </w:rPr>
      </w:pPr>
      <w:r>
        <w:rPr>
          <w:rFonts w:cs="Arial" w:ascii="Arial" w:hAnsi="Arial"/>
          <w:sz w:val="24"/>
          <w:szCs w:val="24"/>
        </w:rPr>
        <w:t>Data Protection Act 2018</w:t>
      </w:r>
    </w:p>
    <w:p>
      <w:pPr>
        <w:pStyle w:val="Normal"/>
        <w:jc w:val="both"/>
        <w:rPr>
          <w:rFonts w:ascii="Arial" w:hAnsi="Arial" w:cs="Arial"/>
          <w:sz w:val="24"/>
          <w:szCs w:val="24"/>
        </w:rPr>
      </w:pPr>
      <w:r>
        <w:rPr>
          <w:rFonts w:cs="Arial" w:ascii="Arial" w:hAnsi="Arial"/>
          <w:sz w:val="24"/>
          <w:szCs w:val="24"/>
        </w:rPr>
        <w:t>Modern Slavery Act 2015</w:t>
      </w:r>
    </w:p>
    <w:p>
      <w:pPr>
        <w:pStyle w:val="Normal"/>
        <w:jc w:val="both"/>
        <w:rPr>
          <w:rFonts w:ascii="Arial" w:hAnsi="Arial" w:cs="Arial"/>
          <w:sz w:val="24"/>
          <w:szCs w:val="24"/>
        </w:rPr>
      </w:pPr>
      <w:r>
        <w:rPr>
          <w:rFonts w:cs="Arial" w:ascii="Arial" w:hAnsi="Arial"/>
          <w:sz w:val="24"/>
          <w:szCs w:val="24"/>
        </w:rPr>
        <w:t>Sexual Offences Act 2003</w:t>
      </w:r>
    </w:p>
    <w:p>
      <w:pPr>
        <w:pStyle w:val="Normal"/>
        <w:jc w:val="both"/>
        <w:rPr>
          <w:rFonts w:ascii="Arial" w:hAnsi="Arial" w:cs="Arial"/>
          <w:sz w:val="24"/>
          <w:szCs w:val="24"/>
        </w:rPr>
      </w:pPr>
      <w:r>
        <w:rPr>
          <w:rFonts w:cs="Arial" w:ascii="Arial" w:hAnsi="Arial"/>
          <w:sz w:val="24"/>
          <w:szCs w:val="24"/>
        </w:rPr>
        <w:t>Serious Crime Act 2015</w:t>
      </w:r>
    </w:p>
    <w:p>
      <w:pPr>
        <w:pStyle w:val="Normal"/>
        <w:jc w:val="both"/>
        <w:rPr>
          <w:rFonts w:ascii="Arial" w:hAnsi="Arial" w:cs="Arial"/>
          <w:sz w:val="24"/>
          <w:szCs w:val="24"/>
        </w:rPr>
      </w:pPr>
      <w:r>
        <w:rPr>
          <w:rFonts w:cs="Arial" w:ascii="Arial" w:hAnsi="Arial"/>
          <w:sz w:val="24"/>
          <w:szCs w:val="24"/>
        </w:rPr>
        <w:t>Criminal Justice and Court Services Act (2000)</w:t>
      </w:r>
    </w:p>
    <w:p>
      <w:pPr>
        <w:pStyle w:val="Normal"/>
        <w:jc w:val="both"/>
        <w:rPr>
          <w:rFonts w:ascii="Arial" w:hAnsi="Arial" w:cs="Arial"/>
          <w:sz w:val="24"/>
          <w:szCs w:val="24"/>
        </w:rPr>
      </w:pPr>
      <w:r>
        <w:rPr>
          <w:rFonts w:cs="Arial" w:ascii="Arial" w:hAnsi="Arial"/>
          <w:sz w:val="24"/>
          <w:szCs w:val="24"/>
        </w:rPr>
        <w:t>Human Rights Act (1998)</w:t>
      </w:r>
    </w:p>
    <w:p>
      <w:pPr>
        <w:pStyle w:val="Normal"/>
        <w:jc w:val="both"/>
        <w:rPr>
          <w:rFonts w:ascii="Arial" w:hAnsi="Arial" w:cs="Arial"/>
          <w:sz w:val="24"/>
          <w:szCs w:val="24"/>
        </w:rPr>
      </w:pPr>
      <w:r>
        <w:rPr>
          <w:rFonts w:cs="Arial" w:ascii="Arial" w:hAnsi="Arial"/>
          <w:sz w:val="24"/>
          <w:szCs w:val="24"/>
        </w:rPr>
        <w:t>Equalities Act (2006)</w:t>
      </w:r>
    </w:p>
    <w:p>
      <w:pPr>
        <w:pStyle w:val="Normal"/>
        <w:jc w:val="both"/>
        <w:rPr>
          <w:rFonts w:ascii="Arial" w:hAnsi="Arial" w:cs="Arial"/>
          <w:sz w:val="24"/>
          <w:szCs w:val="24"/>
        </w:rPr>
      </w:pPr>
      <w:r>
        <w:rPr>
          <w:rFonts w:cs="Arial" w:ascii="Arial" w:hAnsi="Arial"/>
          <w:sz w:val="24"/>
          <w:szCs w:val="24"/>
        </w:rPr>
        <w:t>Equalities Act (2010)</w:t>
        <w:tab/>
      </w:r>
    </w:p>
    <w:p>
      <w:pPr>
        <w:pStyle w:val="Normal"/>
        <w:jc w:val="both"/>
        <w:rPr>
          <w:rFonts w:ascii="Arial" w:hAnsi="Arial" w:cs="Arial"/>
          <w:sz w:val="24"/>
          <w:szCs w:val="24"/>
        </w:rPr>
      </w:pPr>
      <w:r>
        <w:rPr>
          <w:rFonts w:cs="Arial" w:ascii="Arial" w:hAnsi="Arial"/>
          <w:sz w:val="24"/>
          <w:szCs w:val="24"/>
        </w:rPr>
        <w:t>Disability Discrimination Act (1995)</w:t>
      </w:r>
    </w:p>
    <w:p>
      <w:pPr>
        <w:pStyle w:val="Normal"/>
        <w:jc w:val="both"/>
        <w:rPr>
          <w:rFonts w:ascii="Arial" w:hAnsi="Arial" w:cs="Arial"/>
          <w:sz w:val="24"/>
          <w:szCs w:val="24"/>
        </w:rPr>
      </w:pPr>
      <w:r>
        <w:rPr>
          <w:rFonts w:cs="Arial" w:ascii="Arial" w:hAnsi="Arial"/>
          <w:sz w:val="24"/>
          <w:szCs w:val="24"/>
        </w:rPr>
        <w:t>Data Protection Act (2018)</w:t>
      </w:r>
    </w:p>
    <w:p>
      <w:pPr>
        <w:pStyle w:val="Normal"/>
        <w:jc w:val="both"/>
        <w:rPr>
          <w:rFonts w:ascii="Arial" w:hAnsi="Arial" w:cs="Arial"/>
          <w:sz w:val="24"/>
          <w:szCs w:val="24"/>
        </w:rPr>
      </w:pPr>
      <w:r>
        <w:rPr>
          <w:rFonts w:cs="Arial" w:ascii="Arial" w:hAnsi="Arial"/>
          <w:sz w:val="24"/>
          <w:szCs w:val="24"/>
        </w:rPr>
        <w:t>Freedom of Information Act (2000)</w:t>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i/>
          <w:i/>
          <w:iCs/>
          <w:sz w:val="24"/>
          <w:szCs w:val="24"/>
        </w:rPr>
      </w:pPr>
      <w:r>
        <w:rPr>
          <w:rFonts w:cs="Arial" w:ascii="Arial" w:hAnsi="Arial"/>
          <w:i/>
          <w:iCs/>
          <w:sz w:val="24"/>
          <w:szCs w:val="24"/>
        </w:rPr>
        <w:t>Legal references</w:t>
      </w:r>
    </w:p>
    <w:p>
      <w:pPr>
        <w:pStyle w:val="Normal"/>
        <w:jc w:val="both"/>
        <w:rPr>
          <w:rFonts w:ascii="Arial" w:hAnsi="Arial" w:cs="Arial"/>
          <w:sz w:val="24"/>
          <w:szCs w:val="24"/>
        </w:rPr>
      </w:pPr>
      <w:r>
        <w:rPr>
          <w:rFonts w:cs="Arial" w:ascii="Arial" w:hAnsi="Arial"/>
          <w:sz w:val="24"/>
          <w:szCs w:val="24"/>
        </w:rPr>
        <w:t>Working Together to Safeguard Children (HMG 2023)</w:t>
      </w:r>
    </w:p>
    <w:p>
      <w:pPr>
        <w:pStyle w:val="Normal"/>
        <w:jc w:val="both"/>
        <w:rPr>
          <w:rFonts w:ascii="Arial" w:hAnsi="Arial" w:cs="Arial"/>
          <w:sz w:val="24"/>
          <w:szCs w:val="24"/>
        </w:rPr>
      </w:pPr>
      <w:r>
        <w:rPr>
          <w:rFonts w:cs="Arial" w:ascii="Arial" w:hAnsi="Arial"/>
          <w:sz w:val="24"/>
          <w:szCs w:val="24"/>
        </w:rPr>
        <w:t>Statutory Framework for the Early Years Foundation Stage 2024</w:t>
      </w:r>
    </w:p>
    <w:p>
      <w:pPr>
        <w:pStyle w:val="Normal"/>
        <w:jc w:val="both"/>
        <w:rPr>
          <w:rFonts w:ascii="Arial" w:hAnsi="Arial" w:cs="Arial"/>
          <w:sz w:val="24"/>
          <w:szCs w:val="24"/>
        </w:rPr>
      </w:pPr>
      <w:r>
        <w:rPr>
          <w:rFonts w:cs="Arial" w:ascii="Arial" w:hAnsi="Arial"/>
          <w:sz w:val="24"/>
          <w:szCs w:val="24"/>
        </w:rPr>
        <w:t>What to Do if You are Worried a Child is Being Abused (HMG 2015)</w:t>
      </w:r>
    </w:p>
    <w:p>
      <w:pPr>
        <w:pStyle w:val="Normal"/>
        <w:jc w:val="both"/>
        <w:rPr>
          <w:rFonts w:ascii="Arial" w:hAnsi="Arial" w:cs="Arial"/>
          <w:sz w:val="24"/>
          <w:szCs w:val="24"/>
        </w:rPr>
      </w:pPr>
      <w:r>
        <w:rPr>
          <w:rFonts w:cs="Arial" w:ascii="Arial" w:hAnsi="Arial"/>
          <w:sz w:val="24"/>
          <w:szCs w:val="24"/>
        </w:rPr>
        <w:t>Prevent duty guidance for England and Wales: guidance for specified authorities in England and Wales on the duty of schools and other providers in the Counterterrorism and Security Act 2015 to have due regard to the need to prevent people from being drawn into terrorism’ (HMG 2015)</w:t>
      </w:r>
    </w:p>
    <w:p>
      <w:pPr>
        <w:pStyle w:val="Normal"/>
        <w:jc w:val="both"/>
        <w:rPr>
          <w:rFonts w:ascii="Arial" w:hAnsi="Arial" w:cs="Arial"/>
          <w:sz w:val="24"/>
          <w:szCs w:val="24"/>
        </w:rPr>
      </w:pPr>
      <w:r>
        <w:rPr>
          <w:rFonts w:cs="Arial" w:ascii="Arial" w:hAnsi="Arial"/>
          <w:sz w:val="24"/>
          <w:szCs w:val="24"/>
        </w:rPr>
        <w:t>Keeping Children Safe in Education 2024</w:t>
      </w:r>
    </w:p>
    <w:p>
      <w:pPr>
        <w:pStyle w:val="Normal"/>
        <w:jc w:val="both"/>
        <w:rPr>
          <w:rFonts w:ascii="Arial" w:hAnsi="Arial" w:cs="Arial"/>
          <w:sz w:val="24"/>
          <w:szCs w:val="24"/>
        </w:rPr>
      </w:pPr>
      <w:r>
        <w:rPr>
          <w:rFonts w:cs="Arial" w:ascii="Arial" w:hAnsi="Arial"/>
          <w:sz w:val="24"/>
          <w:szCs w:val="24"/>
        </w:rPr>
        <w:t>Education Inspection Framework (Ofsted 2024)</w:t>
      </w:r>
    </w:p>
    <w:p>
      <w:pPr>
        <w:pStyle w:val="Normal"/>
        <w:jc w:val="both"/>
        <w:rPr>
          <w:rFonts w:ascii="Arial" w:hAnsi="Arial" w:cs="Arial"/>
          <w:sz w:val="24"/>
          <w:szCs w:val="24"/>
        </w:rPr>
      </w:pPr>
      <w:r>
        <w:rPr>
          <w:rFonts w:cs="Arial" w:ascii="Arial" w:hAnsi="Arial"/>
          <w:sz w:val="24"/>
          <w:szCs w:val="24"/>
        </w:rPr>
        <w:t>The framework for the assessment of children in need and their families (DoH 2000)</w:t>
      </w:r>
    </w:p>
    <w:p>
      <w:pPr>
        <w:pStyle w:val="Normal"/>
        <w:jc w:val="both"/>
        <w:rPr>
          <w:rFonts w:ascii="Arial" w:hAnsi="Arial" w:cs="Arial"/>
          <w:sz w:val="24"/>
          <w:szCs w:val="24"/>
        </w:rPr>
      </w:pPr>
      <w:r>
        <w:rPr>
          <w:rFonts w:cs="Arial" w:ascii="Arial" w:hAnsi="Arial"/>
          <w:sz w:val="24"/>
          <w:szCs w:val="24"/>
        </w:rPr>
        <w:t>The Common Assessment Framework (2006)</w:t>
      </w:r>
    </w:p>
    <w:p>
      <w:pPr>
        <w:pStyle w:val="Normal"/>
        <w:jc w:val="both"/>
        <w:rPr>
          <w:rFonts w:ascii="Arial" w:hAnsi="Arial" w:cs="Arial"/>
          <w:sz w:val="24"/>
          <w:szCs w:val="24"/>
          <w:lang w:val="en-US"/>
        </w:rPr>
      </w:pPr>
      <w:r>
        <w:rPr>
          <w:rFonts w:cs="Arial" w:ascii="Arial" w:hAnsi="Arial"/>
          <w:sz w:val="24"/>
          <w:szCs w:val="24"/>
          <w:lang w:val="en-US"/>
        </w:rPr>
        <w:t>Statutory guidance on inter-agency working to safeguard and promote the welfare of children (DfE 2015)</w:t>
      </w:r>
    </w:p>
    <w:p>
      <w:pPr>
        <w:pStyle w:val="Normal"/>
        <w:jc w:val="both"/>
        <w:rPr>
          <w:rFonts w:ascii="Arial" w:hAnsi="Arial" w:cs="Arial"/>
          <w:sz w:val="24"/>
          <w:szCs w:val="24"/>
          <w:lang w:val="en-US"/>
        </w:rPr>
      </w:pPr>
      <w:r>
        <w:rPr>
          <w:rFonts w:cs="Arial" w:ascii="Arial" w:hAnsi="Arial"/>
          <w:sz w:val="24"/>
          <w:szCs w:val="24"/>
          <w:lang w:val="en-US"/>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Further guidance</w:t>
      </w:r>
    </w:p>
    <w:p>
      <w:pPr>
        <w:pStyle w:val="Normal"/>
        <w:jc w:val="both"/>
        <w:rPr>
          <w:rFonts w:ascii="Arial" w:hAnsi="Arial" w:cs="Arial"/>
          <w:sz w:val="24"/>
          <w:szCs w:val="24"/>
        </w:rPr>
      </w:pPr>
      <w:r>
        <w:rPr>
          <w:rFonts w:cs="Arial" w:ascii="Arial" w:hAnsi="Arial"/>
          <w:sz w:val="24"/>
          <w:szCs w:val="24"/>
        </w:rPr>
        <w:t>Information sharing advice for safeguarding practitioners (DfE 2024)</w:t>
      </w:r>
    </w:p>
    <w:p>
      <w:pPr>
        <w:pStyle w:val="Normal"/>
        <w:jc w:val="both"/>
        <w:rPr>
          <w:rFonts w:ascii="Arial" w:hAnsi="Arial" w:cs="Arial"/>
          <w:sz w:val="24"/>
          <w:szCs w:val="24"/>
        </w:rPr>
      </w:pPr>
      <w:r>
        <w:rPr>
          <w:rFonts w:cs="Arial" w:ascii="Arial" w:hAnsi="Arial"/>
          <w:sz w:val="24"/>
          <w:szCs w:val="24"/>
        </w:rPr>
        <w:t>The Team Around the Child (TAC) and the Lead Professional (CWDC 2009)</w:t>
      </w:r>
    </w:p>
    <w:p>
      <w:pPr>
        <w:pStyle w:val="Normal"/>
        <w:jc w:val="both"/>
        <w:rPr>
          <w:rFonts w:ascii="Arial" w:hAnsi="Arial" w:cs="Arial"/>
          <w:sz w:val="24"/>
          <w:szCs w:val="24"/>
        </w:rPr>
      </w:pPr>
      <w:r>
        <w:rPr>
          <w:rFonts w:cs="Arial" w:ascii="Arial" w:hAnsi="Arial"/>
          <w:sz w:val="24"/>
          <w:szCs w:val="24"/>
        </w:rPr>
        <w:t>The Common Assessment Framework (CAF) – guide for practitioners (CWDC 2010)</w:t>
      </w:r>
    </w:p>
    <w:p>
      <w:pPr>
        <w:pStyle w:val="Normal"/>
        <w:jc w:val="both"/>
        <w:rPr>
          <w:rFonts w:ascii="Arial" w:hAnsi="Arial" w:cs="Arial"/>
          <w:sz w:val="24"/>
          <w:szCs w:val="24"/>
        </w:rPr>
      </w:pPr>
      <w:r>
        <w:rPr>
          <w:rFonts w:cs="Arial" w:ascii="Arial" w:hAnsi="Arial"/>
          <w:sz w:val="24"/>
          <w:szCs w:val="24"/>
        </w:rPr>
        <w:t xml:space="preserve">Multi-Agency Statutory Guidance on Female Genital Mutilation (HMG. 2016) </w:t>
      </w:r>
    </w:p>
    <w:p>
      <w:pPr>
        <w:pStyle w:val="Normal"/>
        <w:jc w:val="both"/>
        <w:rPr>
          <w:rFonts w:ascii="Arial" w:hAnsi="Arial" w:cs="Arial"/>
          <w:sz w:val="24"/>
          <w:szCs w:val="24"/>
        </w:rPr>
      </w:pPr>
      <w:r>
        <w:rPr>
          <w:rFonts w:cs="Arial" w:ascii="Arial" w:hAnsi="Arial"/>
          <w:sz w:val="24"/>
          <w:szCs w:val="24"/>
        </w:rPr>
        <w:t>Multi-Agency Public Protection Arrangements (MAPPA) (Ministry of Justice, National Offender Management Service and HM Prison Service 2014)</w:t>
      </w:r>
    </w:p>
    <w:p>
      <w:pPr>
        <w:pStyle w:val="Normal"/>
        <w:jc w:val="both"/>
        <w:rPr>
          <w:rFonts w:ascii="Arial" w:hAnsi="Arial" w:cs="Arial"/>
          <w:sz w:val="24"/>
          <w:szCs w:val="24"/>
        </w:rPr>
      </w:pPr>
      <w:r>
        <w:rPr>
          <w:rFonts w:cs="Arial" w:ascii="Arial" w:hAnsi="Arial"/>
          <w:sz w:val="24"/>
          <w:szCs w:val="24"/>
        </w:rPr>
        <w:t>Safeguarding Children from Abuse Linked to a Belief in Spirit Possession (HMG 2010)</w:t>
      </w:r>
    </w:p>
    <w:p>
      <w:pPr>
        <w:pStyle w:val="Normal"/>
        <w:jc w:val="both"/>
        <w:rPr>
          <w:rFonts w:ascii="Arial" w:hAnsi="Arial" w:cs="Arial"/>
          <w:sz w:val="24"/>
          <w:szCs w:val="24"/>
        </w:rPr>
      </w:pPr>
      <w:r>
        <w:rPr>
          <w:rFonts w:cs="Arial" w:ascii="Arial" w:hAnsi="Arial"/>
          <w:sz w:val="24"/>
          <w:szCs w:val="24"/>
        </w:rPr>
        <w:t>Safeguarding Children in whom Illness is Fabricated or Induced (HMG 2007)</w:t>
      </w:r>
    </w:p>
    <w:p>
      <w:pPr>
        <w:pStyle w:val="Normal"/>
        <w:jc w:val="both"/>
        <w:rPr>
          <w:rFonts w:ascii="Arial" w:hAnsi="Arial" w:cs="Arial"/>
          <w:sz w:val="24"/>
          <w:szCs w:val="24"/>
        </w:rPr>
      </w:pPr>
      <w:r>
        <w:rPr>
          <w:rFonts w:cs="Arial" w:ascii="Arial" w:hAnsi="Arial"/>
          <w:sz w:val="24"/>
          <w:szCs w:val="24"/>
        </w:rPr>
        <w:t>Safeguarding Disabled Children: Practice Guidance (DfE 2009)</w:t>
      </w:r>
    </w:p>
    <w:p>
      <w:pPr>
        <w:pStyle w:val="Normal"/>
        <w:jc w:val="both"/>
        <w:rPr>
          <w:rFonts w:ascii="Arial" w:hAnsi="Arial" w:cs="Arial"/>
          <w:sz w:val="24"/>
          <w:szCs w:val="24"/>
        </w:rPr>
      </w:pPr>
      <w:r>
        <w:rPr>
          <w:rFonts w:cs="Arial" w:ascii="Arial" w:hAnsi="Arial"/>
          <w:sz w:val="24"/>
          <w:szCs w:val="24"/>
        </w:rPr>
        <w:t>Safeguarding Children who may have been Trafficked (DfE and Home Office 2011)</w:t>
      </w:r>
    </w:p>
    <w:p>
      <w:pPr>
        <w:pStyle w:val="Normal"/>
        <w:jc w:val="both"/>
        <w:rPr>
          <w:rFonts w:ascii="Arial" w:hAnsi="Arial" w:cs="Arial"/>
          <w:sz w:val="24"/>
          <w:szCs w:val="24"/>
        </w:rPr>
      </w:pPr>
      <w:r>
        <w:rPr>
          <w:rFonts w:cs="Arial" w:ascii="Arial" w:hAnsi="Arial"/>
          <w:sz w:val="24"/>
          <w:szCs w:val="24"/>
        </w:rPr>
        <w:t>Child sexual exploitation: definition and guide for practitioners (DfE 2017)</w:t>
      </w:r>
    </w:p>
    <w:p>
      <w:pPr>
        <w:pStyle w:val="Normal"/>
        <w:jc w:val="both"/>
        <w:rPr>
          <w:rFonts w:ascii="Arial" w:hAnsi="Arial" w:cs="Arial"/>
          <w:sz w:val="24"/>
          <w:szCs w:val="24"/>
        </w:rPr>
      </w:pPr>
      <w:r>
        <w:rPr>
          <w:rFonts w:cs="Arial" w:ascii="Arial" w:hAnsi="Arial"/>
          <w:sz w:val="24"/>
          <w:szCs w:val="24"/>
        </w:rPr>
        <w:t>Handling Cases of Forced Marriage: Multi-Agency Practice Guidelines (HMG 2014)</w:t>
      </w:r>
    </w:p>
    <w:p>
      <w:pPr>
        <w:pStyle w:val="Normal"/>
        <w:jc w:val="center"/>
        <w:rPr>
          <w:rFonts w:ascii="Arial" w:hAnsi="Arial" w:cs="Arial"/>
          <w:b/>
          <w:b/>
          <w:bCs/>
          <w:sz w:val="24"/>
          <w:szCs w:val="24"/>
        </w:rPr>
      </w:pPr>
      <w:r>
        <w:rPr>
          <w:rFonts w:cs="Arial" w:ascii="Arial" w:hAnsi="Arial"/>
          <w:b/>
          <w:bCs/>
          <w:sz w:val="24"/>
          <w:szCs w:val="24"/>
        </w:rPr>
      </w:r>
    </w:p>
    <w:p>
      <w:pPr>
        <w:pStyle w:val="ListParagraph"/>
        <w:numPr>
          <w:ilvl w:val="0"/>
          <w:numId w:val="1"/>
        </w:numPr>
        <w:spacing w:before="0" w:after="120"/>
        <w:contextualSpacing/>
        <w:jc w:val="both"/>
        <w:rPr>
          <w:rFonts w:ascii="Arial" w:hAnsi="Arial" w:cs="Arial"/>
          <w:b/>
          <w:b/>
          <w:bCs/>
          <w:sz w:val="24"/>
          <w:szCs w:val="24"/>
        </w:rPr>
      </w:pPr>
      <w:r>
        <w:rPr>
          <w:rFonts w:cs="Arial" w:ascii="Arial" w:hAnsi="Arial"/>
          <w:b/>
          <w:bCs/>
          <w:sz w:val="24"/>
          <w:szCs w:val="24"/>
        </w:rPr>
        <w:t>Revision History</w:t>
      </w:r>
    </w:p>
    <w:p>
      <w:pPr>
        <w:pStyle w:val="Normal"/>
        <w:jc w:val="both"/>
        <w:rPr>
          <w:rFonts w:ascii="Arial" w:hAnsi="Arial" w:cs="Arial"/>
          <w:sz w:val="24"/>
          <w:szCs w:val="24"/>
        </w:rPr>
      </w:pPr>
      <w:r>
        <w:rPr>
          <w:rFonts w:cs="Arial" w:ascii="Arial" w:hAnsi="Arial"/>
          <w:sz w:val="24"/>
          <w:szCs w:val="24"/>
        </w:rPr>
        <w:t>This policy and related guidance will be monitored by the Management Committee on a regular basis for compliance and will be reviewed annually.</w:t>
      </w:r>
    </w:p>
    <w:p>
      <w:pPr>
        <w:pStyle w:val="Normal"/>
        <w:jc w:val="both"/>
        <w:rPr>
          <w:rFonts w:ascii="Arial" w:hAnsi="Arial" w:cs="Arial"/>
          <w:sz w:val="24"/>
          <w:szCs w:val="24"/>
        </w:rPr>
      </w:pPr>
      <w:r>
        <w:rPr>
          <w:rFonts w:cs="Arial" w:ascii="Arial" w:hAnsi="Arial"/>
          <w:sz w:val="24"/>
          <w:szCs w:val="24"/>
        </w:rPr>
      </w:r>
    </w:p>
    <w:tbl>
      <w:tblPr>
        <w:tblStyle w:val="TableGrid"/>
        <w:tblW w:w="813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7"/>
        <w:gridCol w:w="4737"/>
      </w:tblGrid>
      <w:tr>
        <w:trPr>
          <w:trHeight w:val="548"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Date approved or amended</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b/>
                <w:bCs/>
                <w:sz w:val="24"/>
                <w:szCs w:val="24"/>
                <w:lang w:val="en-GB" w:eastAsia="en-GB" w:bidi="ar-SA"/>
              </w:rPr>
              <w:t>Signed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5</w:t>
            </w:r>
            <w:r>
              <w:rPr>
                <w:rFonts w:eastAsia="Times New Roman" w:cs="Arial" w:ascii="Arial" w:hAnsi="Arial"/>
                <w:sz w:val="24"/>
                <w:szCs w:val="24"/>
                <w:vertAlign w:val="superscript"/>
                <w:lang w:val="en-GB" w:eastAsia="en-GB" w:bidi="ar-SA"/>
              </w:rPr>
              <w:t>th</w:t>
            </w:r>
            <w:r>
              <w:rPr>
                <w:rFonts w:eastAsia="Times New Roman" w:cs="Arial" w:ascii="Arial" w:hAnsi="Arial"/>
                <w:sz w:val="24"/>
                <w:szCs w:val="24"/>
                <w:lang w:val="en-GB" w:eastAsia="en-GB" w:bidi="ar-SA"/>
              </w:rPr>
              <w:t xml:space="preserve"> November 2015</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Sandra Barker</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w:t>
            </w:r>
            <w:r>
              <w:rPr>
                <w:rFonts w:eastAsia="Times New Roman" w:cs="Arial" w:ascii="Arial" w:hAnsi="Arial"/>
                <w:sz w:val="24"/>
                <w:szCs w:val="24"/>
                <w:vertAlign w:val="superscript"/>
                <w:lang w:val="en-GB" w:eastAsia="en-GB" w:bidi="ar-SA"/>
              </w:rPr>
              <w:t>nd</w:t>
            </w:r>
            <w:r>
              <w:rPr>
                <w:rFonts w:eastAsia="Times New Roman" w:cs="Arial" w:ascii="Arial" w:hAnsi="Arial"/>
                <w:sz w:val="24"/>
                <w:szCs w:val="24"/>
                <w:lang w:val="en-GB" w:eastAsia="en-GB" w:bidi="ar-SA"/>
              </w:rPr>
              <w:t xml:space="preserve"> February 2017</w:t>
            </w:r>
          </w:p>
        </w:tc>
        <w:tc>
          <w:tcPr>
            <w:tcW w:w="4737" w:type="dxa"/>
            <w:tcBorders/>
          </w:tcPr>
          <w:p>
            <w:pPr>
              <w:pStyle w:val="Normal"/>
              <w:widowControl w:val="false"/>
              <w:overflowPunct w:val="false"/>
              <w:spacing w:before="0" w:after="0"/>
              <w:jc w:val="both"/>
              <w:rPr>
                <w:rFonts w:ascii="Arial" w:hAnsi="Arial" w:cs="Arial"/>
                <w:sz w:val="24"/>
                <w:szCs w:val="24"/>
              </w:rPr>
            </w:pPr>
            <w:r>
              <w:rPr>
                <w:rFonts w:eastAsia="Times New Roman" w:cs="Arial" w:ascii="Arial" w:hAnsi="Arial"/>
                <w:sz w:val="24"/>
                <w:szCs w:val="24"/>
                <w:lang w:val="en-GB" w:eastAsia="en-GB" w:bidi="ar-SA"/>
              </w:rPr>
              <w:t>Julie Pasque</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5th July 2018</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Rosie Mack</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28th November 2019</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Jayne Stansfeld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14th January 2021</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Jayne Stansfeld</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5th April 2022</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Anna Chambers</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13</w:t>
            </w:r>
            <w:r>
              <w:rPr>
                <w:rFonts w:eastAsia="Times New Roman" w:cs="Arial" w:ascii="Arial" w:hAnsi="Arial"/>
                <w:sz w:val="24"/>
                <w:szCs w:val="24"/>
                <w:vertAlign w:val="superscript"/>
                <w:lang w:val="en-GB" w:eastAsia="en-GB" w:bidi="ar-SA"/>
              </w:rPr>
              <w:t>th</w:t>
            </w:r>
            <w:r>
              <w:rPr>
                <w:rFonts w:eastAsia="Times New Roman" w:cs="Arial" w:ascii="Arial" w:hAnsi="Arial"/>
                <w:sz w:val="24"/>
                <w:szCs w:val="24"/>
                <w:lang w:val="en-GB" w:eastAsia="en-GB" w:bidi="ar-SA"/>
              </w:rPr>
              <w:t xml:space="preserve"> March 2023</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21</w:t>
            </w:r>
            <w:r>
              <w:rPr>
                <w:rFonts w:eastAsia="Times New Roman" w:cs="Arial" w:ascii="Arial" w:hAnsi="Arial"/>
                <w:sz w:val="24"/>
                <w:szCs w:val="24"/>
                <w:vertAlign w:val="superscript"/>
                <w:lang w:val="en-GB" w:eastAsia="en-GB" w:bidi="ar-SA"/>
              </w:rPr>
              <w:t>st</w:t>
            </w:r>
            <w:r>
              <w:rPr>
                <w:rFonts w:eastAsia="Times New Roman" w:cs="Arial" w:ascii="Arial" w:hAnsi="Arial"/>
                <w:sz w:val="24"/>
                <w:szCs w:val="24"/>
                <w:lang w:val="en-GB" w:eastAsia="en-GB" w:bidi="ar-SA"/>
              </w:rPr>
              <w:t xml:space="preserve"> March 2024</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10</w:t>
            </w:r>
            <w:r>
              <w:rPr>
                <w:rFonts w:eastAsia="Times New Roman" w:cs="Arial" w:ascii="Arial" w:hAnsi="Arial"/>
                <w:sz w:val="24"/>
                <w:szCs w:val="24"/>
                <w:vertAlign w:val="superscript"/>
                <w:lang w:val="en-GB" w:eastAsia="en-GB" w:bidi="ar-SA"/>
              </w:rPr>
              <w:t>th</w:t>
            </w:r>
            <w:r>
              <w:rPr>
                <w:rFonts w:eastAsia="Times New Roman" w:cs="Arial" w:ascii="Arial" w:hAnsi="Arial"/>
                <w:sz w:val="24"/>
                <w:szCs w:val="24"/>
                <w:lang w:val="en-GB" w:eastAsia="en-GB" w:bidi="ar-SA"/>
              </w:rPr>
              <w:t xml:space="preserve"> November 2025</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Laura Chapman</w:t>
            </w:r>
          </w:p>
        </w:tc>
      </w:tr>
      <w:tr>
        <w:trPr>
          <w:trHeight w:val="67" w:hRule="atLeast"/>
        </w:trPr>
        <w:tc>
          <w:tcPr>
            <w:tcW w:w="339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5</w:t>
            </w:r>
            <w:r>
              <w:rPr>
                <w:rFonts w:eastAsia="Times New Roman" w:cs="Arial" w:ascii="Arial" w:hAnsi="Arial"/>
                <w:sz w:val="24"/>
                <w:szCs w:val="24"/>
                <w:vertAlign w:val="superscript"/>
                <w:lang w:val="en-GB" w:eastAsia="en-GB" w:bidi="ar-SA"/>
              </w:rPr>
              <w:t>th</w:t>
            </w:r>
            <w:r>
              <w:rPr>
                <w:rFonts w:eastAsia="Times New Roman" w:cs="Arial" w:ascii="Arial" w:hAnsi="Arial"/>
                <w:sz w:val="24"/>
                <w:szCs w:val="24"/>
                <w:lang w:val="en-GB" w:eastAsia="en-GB" w:bidi="ar-SA"/>
              </w:rPr>
              <w:t xml:space="preserve">  July  2026</w:t>
            </w:r>
          </w:p>
        </w:tc>
        <w:tc>
          <w:tcPr>
            <w:tcW w:w="4737" w:type="dxa"/>
            <w:tcBorders/>
          </w:tcPr>
          <w:p>
            <w:pPr>
              <w:pStyle w:val="Normal"/>
              <w:widowControl w:val="false"/>
              <w:spacing w:before="0" w:after="0"/>
              <w:jc w:val="both"/>
              <w:rPr>
                <w:rFonts w:ascii="Arial" w:hAnsi="Arial" w:cs="Arial"/>
                <w:sz w:val="24"/>
                <w:szCs w:val="24"/>
              </w:rPr>
            </w:pPr>
            <w:r>
              <w:rPr>
                <w:rFonts w:eastAsia="Times New Roman" w:cs="Arial" w:ascii="Arial" w:hAnsi="Arial"/>
                <w:sz w:val="24"/>
                <w:szCs w:val="24"/>
                <w:lang w:val="en-GB" w:eastAsia="en-GB" w:bidi="ar-SA"/>
              </w:rPr>
              <w:t xml:space="preserve"> </w:t>
            </w:r>
            <w:r>
              <w:rPr>
                <w:rFonts w:eastAsia="Times New Roman" w:cs="Arial" w:ascii="Arial" w:hAnsi="Arial"/>
                <w:sz w:val="24"/>
                <w:szCs w:val="24"/>
                <w:lang w:val="en-GB" w:eastAsia="en-GB" w:bidi="ar-SA"/>
              </w:rPr>
              <w:t>Sanchia Brandreth</w:t>
            </w:r>
          </w:p>
        </w:tc>
      </w:tr>
    </w:tbl>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jc w:val="both"/>
        <w:rPr>
          <w:rFonts w:ascii="Arial" w:hAnsi="Arial" w:cs="Arial"/>
          <w:sz w:val="24"/>
          <w:szCs w:val="24"/>
        </w:rPr>
      </w:pPr>
      <w:r>
        <w:rPr>
          <w:rFonts w:cs="Arial" w:ascii="Arial" w:hAnsi="Arial"/>
          <w:sz w:val="24"/>
          <w:szCs w:val="24"/>
        </w:rPr>
      </w:r>
    </w:p>
    <w:p>
      <w:pPr>
        <w:pStyle w:val="Normal"/>
        <w:widowControl/>
        <w:overflowPunct w:val="false"/>
        <w:jc w:val="both"/>
        <w:rPr>
          <w:rFonts w:ascii="Arial" w:hAnsi="Arial" w:cs="Arial"/>
          <w:b/>
          <w:b/>
          <w:bCs/>
          <w:sz w:val="24"/>
          <w:szCs w:val="24"/>
        </w:rPr>
      </w:pPr>
      <w:r>
        <w:rPr>
          <w:rFonts w:cs="Arial" w:ascii="Arial" w:hAnsi="Arial"/>
          <w:b/>
          <w:bCs/>
          <w:sz w:val="24"/>
          <w:szCs w:val="24"/>
        </w:rPr>
      </w:r>
      <w:r>
        <w:br w:type="page"/>
      </w:r>
    </w:p>
    <w:p>
      <w:pPr>
        <w:pStyle w:val="NormalWeb"/>
        <w:spacing w:before="100" w:afterAutospacing="0" w:after="0"/>
        <w:jc w:val="center"/>
        <w:rPr>
          <w:rFonts w:ascii="Arial" w:hAnsi="Arial" w:cs="Arial"/>
          <w:b/>
          <w:b/>
          <w:bCs/>
          <w:sz w:val="32"/>
          <w:szCs w:val="32"/>
        </w:rPr>
      </w:pPr>
      <w:bookmarkStart w:id="0" w:name="_Hlk77064971"/>
      <w:bookmarkEnd w:id="0"/>
      <w:r>
        <w:rPr>
          <w:rFonts w:cs="Arial" w:ascii="Arial" w:hAnsi="Arial"/>
          <w:b/>
          <w:bCs/>
          <w:sz w:val="32"/>
          <w:szCs w:val="32"/>
        </w:rPr>
        <w:t>SAFEGUARDING CHILDREN, YOUNG PEOPLE AND VULNERABLE ADULTS PROCEDURES</w:t>
      </w:r>
    </w:p>
    <w:p>
      <w:pPr>
        <w:pStyle w:val="NormalWeb"/>
        <w:spacing w:before="100" w:afterAutospacing="0" w:after="0"/>
        <w:jc w:val="center"/>
        <w:rPr>
          <w:rFonts w:ascii="Arial" w:hAnsi="Arial" w:cs="Arial"/>
          <w:b/>
          <w:b/>
          <w:bCs/>
          <w:sz w:val="32"/>
          <w:szCs w:val="32"/>
        </w:rPr>
      </w:pPr>
      <w:r>
        <w:rPr>
          <w:rFonts w:cs="Arial" w:ascii="Arial" w:hAnsi="Arial"/>
          <w:b/>
          <w:bCs/>
          <w:sz w:val="32"/>
          <w:szCs w:val="32"/>
        </w:rPr>
      </w:r>
    </w:p>
    <w:p>
      <w:pPr>
        <w:pStyle w:val="ListParagraph"/>
        <w:numPr>
          <w:ilvl w:val="0"/>
          <w:numId w:val="4"/>
        </w:numPr>
        <w:spacing w:before="0" w:after="120"/>
        <w:contextualSpacing/>
        <w:jc w:val="both"/>
        <w:rPr>
          <w:rFonts w:ascii="Arial" w:hAnsi="Arial" w:cs="Arial"/>
          <w:b/>
          <w:b/>
          <w:bCs/>
          <w:sz w:val="24"/>
          <w:szCs w:val="24"/>
        </w:rPr>
      </w:pPr>
      <w:bookmarkStart w:id="1" w:name="_Hlk77064971"/>
      <w:bookmarkEnd w:id="1"/>
      <w:r>
        <w:rPr>
          <w:rFonts w:cs="Arial" w:ascii="Arial" w:hAnsi="Arial"/>
          <w:b/>
          <w:bCs/>
          <w:sz w:val="24"/>
          <w:szCs w:val="24"/>
        </w:rPr>
        <w:t>Responding to safeguarding or child protection concerns</w:t>
      </w:r>
    </w:p>
    <w:p>
      <w:pPr>
        <w:pStyle w:val="ListParagraph"/>
        <w:spacing w:before="0" w:after="120"/>
        <w:ind w:left="360" w:hanging="0"/>
        <w:contextualSpacing/>
        <w:jc w:val="both"/>
        <w:rPr>
          <w:rFonts w:ascii="Arial" w:hAnsi="Arial" w:cs="Arial"/>
          <w:b/>
          <w:b/>
          <w:bCs/>
          <w:sz w:val="24"/>
          <w:szCs w:val="24"/>
        </w:rPr>
      </w:pPr>
      <w:r>
        <w:rPr>
          <w:rFonts w:cs="Arial" w:ascii="Arial" w:hAnsi="Arial"/>
          <w:b/>
          <w:bCs/>
          <w:sz w:val="24"/>
          <w:szCs w:val="24"/>
        </w:rPr>
      </w:r>
      <w:bookmarkStart w:id="2" w:name="_Hlk77146521"/>
      <w:bookmarkStart w:id="3" w:name="_Hlk77146521"/>
      <w:bookmarkEnd w:id="3"/>
    </w:p>
    <w:p>
      <w:pPr>
        <w:pStyle w:val="ListParagraph"/>
        <w:numPr>
          <w:ilvl w:val="0"/>
          <w:numId w:val="2"/>
        </w:numPr>
        <w:jc w:val="both"/>
        <w:rPr>
          <w:rFonts w:ascii="Arial" w:hAnsi="Arial" w:cs="Arial"/>
          <w:sz w:val="24"/>
          <w:szCs w:val="24"/>
        </w:rPr>
      </w:pPr>
      <w:r>
        <w:rPr>
          <w:rFonts w:cs="Arial" w:ascii="Arial" w:hAnsi="Arial"/>
          <w:sz w:val="24"/>
          <w:szCs w:val="24"/>
        </w:rPr>
        <w:t>Our Designated Safeguarding Lead (a member of staff) who co-ordinates child protection, young person and vulnerable adult protection issues is:</w:t>
      </w:r>
    </w:p>
    <w:p>
      <w:pPr>
        <w:pStyle w:val="ListParagraph"/>
        <w:ind w:left="360" w:hanging="0"/>
        <w:jc w:val="both"/>
        <w:rPr>
          <w:rFonts w:ascii="Arial" w:hAnsi="Arial" w:cs="Arial"/>
          <w:sz w:val="24"/>
          <w:szCs w:val="24"/>
        </w:rPr>
      </w:pPr>
      <w:r>
        <w:rPr>
          <w:rFonts w:cs="Arial" w:ascii="Arial" w:hAnsi="Arial"/>
          <w:sz w:val="24"/>
          <w:szCs w:val="24"/>
        </w:rPr>
      </w:r>
    </w:p>
    <w:p>
      <w:pPr>
        <w:pStyle w:val="Normal"/>
        <w:jc w:val="center"/>
        <w:rPr>
          <w:rFonts w:ascii="Arial" w:hAnsi="Arial" w:cs="Arial"/>
          <w:b/>
          <w:b/>
          <w:bCs/>
          <w:sz w:val="24"/>
          <w:szCs w:val="24"/>
        </w:rPr>
      </w:pPr>
      <w:r>
        <w:rPr>
          <w:rFonts w:cs="Arial" w:ascii="Arial" w:hAnsi="Arial"/>
          <w:b/>
          <w:bCs/>
          <w:sz w:val="24"/>
          <w:szCs w:val="24"/>
        </w:rPr>
        <w:t>Sanchia Brandreth – Manager</w:t>
      </w:r>
    </w:p>
    <w:p>
      <w:pPr>
        <w:pStyle w:val="Normal"/>
        <w:jc w:val="both"/>
        <w:rPr>
          <w:rFonts w:ascii="Arial" w:hAnsi="Arial" w:cs="Arial"/>
          <w:b/>
          <w:b/>
          <w:bCs/>
          <w:sz w:val="24"/>
          <w:szCs w:val="24"/>
        </w:rPr>
      </w:pPr>
      <w:r>
        <w:rPr>
          <w:rFonts w:cs="Arial" w:ascii="Arial" w:hAnsi="Arial"/>
          <w:b/>
          <w:bCs/>
          <w:sz w:val="24"/>
          <w:szCs w:val="24"/>
        </w:rPr>
      </w:r>
    </w:p>
    <w:p>
      <w:pPr>
        <w:pStyle w:val="ListParagraph"/>
        <w:numPr>
          <w:ilvl w:val="0"/>
          <w:numId w:val="2"/>
        </w:numPr>
        <w:jc w:val="both"/>
        <w:rPr>
          <w:rFonts w:ascii="Arial" w:hAnsi="Arial" w:cs="Arial"/>
          <w:sz w:val="24"/>
          <w:szCs w:val="24"/>
        </w:rPr>
      </w:pPr>
      <w:r>
        <w:rPr>
          <w:rFonts w:cs="Arial" w:ascii="Arial" w:hAnsi="Arial"/>
          <w:sz w:val="24"/>
          <w:szCs w:val="24"/>
        </w:rPr>
        <w:t xml:space="preserve">When the setting is open, but the Designated Safeguarding Lead is not available, a suitably trained Back-Up Safeguarding Lead, </w:t>
      </w:r>
      <w:r>
        <w:rPr>
          <w:rFonts w:cs="Arial" w:ascii="Arial" w:hAnsi="Arial"/>
          <w:b/>
          <w:bCs/>
          <w:sz w:val="24"/>
          <w:szCs w:val="24"/>
        </w:rPr>
        <w:t>Laura Stretch</w:t>
      </w:r>
      <w:r>
        <w:rPr>
          <w:rFonts w:cs="Arial" w:ascii="Arial" w:hAnsi="Arial"/>
          <w:sz w:val="24"/>
          <w:szCs w:val="24"/>
        </w:rPr>
        <w:t xml:space="preserve">, is available at all times for staff to discuss safeguarding concerns.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2"/>
        </w:numPr>
        <w:jc w:val="both"/>
        <w:rPr>
          <w:rFonts w:ascii="Arial" w:hAnsi="Arial" w:cs="Arial"/>
          <w:sz w:val="24"/>
          <w:szCs w:val="24"/>
        </w:rPr>
      </w:pPr>
      <w:r>
        <w:rPr>
          <w:rFonts w:cs="Arial" w:ascii="Arial" w:hAnsi="Arial"/>
          <w:sz w:val="24"/>
          <w:szCs w:val="24"/>
        </w:rPr>
        <w:t>Our Safeguarding Officer on the Trustee Board (Designated Officer) who oversees this work is:</w:t>
      </w:r>
    </w:p>
    <w:p>
      <w:pPr>
        <w:pStyle w:val="ListParagraph"/>
        <w:jc w:val="both"/>
        <w:rPr>
          <w:rFonts w:ascii="Arial" w:hAnsi="Arial" w:cs="Arial"/>
          <w:sz w:val="24"/>
          <w:szCs w:val="24"/>
        </w:rPr>
      </w:pPr>
      <w:r>
        <w:rPr>
          <w:rFonts w:cs="Arial" w:ascii="Arial" w:hAnsi="Arial"/>
          <w:sz w:val="24"/>
          <w:szCs w:val="24"/>
        </w:rPr>
      </w:r>
    </w:p>
    <w:p>
      <w:pPr>
        <w:pStyle w:val="Normal"/>
        <w:jc w:val="center"/>
        <w:rPr>
          <w:rFonts w:ascii="Arial" w:hAnsi="Arial" w:cs="Arial"/>
          <w:b/>
          <w:b/>
          <w:bCs/>
          <w:sz w:val="24"/>
          <w:szCs w:val="24"/>
        </w:rPr>
      </w:pPr>
      <w:r>
        <w:rPr>
          <w:rFonts w:cs="Arial" w:ascii="Arial" w:hAnsi="Arial"/>
          <w:b/>
          <w:bCs/>
          <w:sz w:val="24"/>
          <w:szCs w:val="24"/>
        </w:rPr>
        <w:t xml:space="preserve">Alison Carter </w:t>
      </w:r>
    </w:p>
    <w:p>
      <w:pPr>
        <w:pStyle w:val="Normal"/>
        <w:jc w:val="center"/>
        <w:rPr>
          <w:rFonts w:ascii="Arial" w:hAnsi="Arial" w:cs="Arial"/>
          <w:b/>
          <w:b/>
          <w:bCs/>
          <w:sz w:val="24"/>
          <w:szCs w:val="24"/>
        </w:rPr>
      </w:pPr>
      <w:r>
        <w:rPr>
          <w:rFonts w:cs="Arial" w:ascii="Arial" w:hAnsi="Arial"/>
          <w:b/>
          <w:bCs/>
          <w:sz w:val="24"/>
          <w:szCs w:val="24"/>
        </w:rPr>
      </w:r>
    </w:p>
    <w:p>
      <w:pPr>
        <w:pStyle w:val="ListParagraph"/>
        <w:numPr>
          <w:ilvl w:val="0"/>
          <w:numId w:val="4"/>
        </w:numPr>
        <w:spacing w:before="0" w:after="120"/>
        <w:contextualSpacing/>
        <w:jc w:val="both"/>
        <w:rPr>
          <w:rFonts w:ascii="Arial" w:hAnsi="Arial" w:cs="Arial"/>
          <w:b/>
          <w:b/>
          <w:bCs/>
          <w:sz w:val="24"/>
          <w:szCs w:val="24"/>
        </w:rPr>
      </w:pPr>
      <w:r>
        <w:rPr>
          <w:rFonts w:cs="Arial" w:ascii="Arial" w:hAnsi="Arial"/>
          <w:b/>
          <w:bCs/>
          <w:sz w:val="24"/>
          <w:szCs w:val="24"/>
        </w:rPr>
        <w:t>Safeguarding roles</w:t>
      </w:r>
    </w:p>
    <w:p>
      <w:pPr>
        <w:pStyle w:val="ListParagraph"/>
        <w:numPr>
          <w:ilvl w:val="0"/>
          <w:numId w:val="2"/>
        </w:numPr>
        <w:jc w:val="both"/>
        <w:rPr>
          <w:rFonts w:ascii="Arial" w:hAnsi="Arial" w:cs="Arial"/>
          <w:sz w:val="24"/>
          <w:szCs w:val="24"/>
        </w:rPr>
      </w:pPr>
      <w:r>
        <w:rPr>
          <w:rFonts w:cs="Arial" w:ascii="Arial" w:hAnsi="Arial"/>
          <w:sz w:val="24"/>
          <w:szCs w:val="24"/>
        </w:rPr>
        <w:t>All staff recognise and know how to respond to signs and symptoms that may indicate a child is suffering from or likely to be suffering from harm. They understand that they have a responsibility to act immediately by discussing their concerns with the designated safeguarding lead or a named back-up designated safeguarding lead.</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and back-up designated safeguarding lead are responsible for co-ordinating action taken by the setting to safeguard vulnerable children and adults. The designated safeguarding lead is also responsible for liaising with local statutory children’s services and with the Local Safeguarding Partnership.</w:t>
      </w:r>
    </w:p>
    <w:p>
      <w:pPr>
        <w:pStyle w:val="ListParagraph"/>
        <w:numPr>
          <w:ilvl w:val="0"/>
          <w:numId w:val="2"/>
        </w:numPr>
        <w:jc w:val="both"/>
        <w:rPr>
          <w:rFonts w:ascii="Arial" w:hAnsi="Arial" w:cs="Arial"/>
          <w:sz w:val="24"/>
          <w:szCs w:val="24"/>
        </w:rPr>
      </w:pPr>
      <w:r>
        <w:rPr>
          <w:rFonts w:cs="Arial" w:ascii="Arial" w:hAnsi="Arial"/>
          <w:sz w:val="24"/>
          <w:szCs w:val="24"/>
        </w:rPr>
        <w:t>All concerns about the welfare of children in the setting at home, or elsewhere should be reported to the designated safeguarding lead or the back-up designated safeguarding lead in their absence.</w:t>
      </w:r>
    </w:p>
    <w:p>
      <w:pPr>
        <w:pStyle w:val="ListParagraph"/>
        <w:numPr>
          <w:ilvl w:val="0"/>
          <w:numId w:val="2"/>
        </w:numPr>
        <w:jc w:val="both"/>
        <w:rPr>
          <w:rFonts w:ascii="Arial" w:hAnsi="Arial" w:cs="Arial"/>
          <w:sz w:val="24"/>
          <w:szCs w:val="24"/>
        </w:rPr>
      </w:pPr>
      <w:r>
        <w:rPr>
          <w:rFonts w:cs="Arial" w:ascii="Arial" w:hAnsi="Arial"/>
          <w:sz w:val="24"/>
          <w:szCs w:val="24"/>
        </w:rPr>
        <w:t xml:space="preserve">The designated safeguarding lead ensures that all staff are alert to the indicators of abuse and neglect and understand how to identify and respond to these. </w:t>
      </w:r>
    </w:p>
    <w:p>
      <w:pPr>
        <w:pStyle w:val="ListParagraph"/>
        <w:numPr>
          <w:ilvl w:val="0"/>
          <w:numId w:val="2"/>
        </w:numPr>
        <w:jc w:val="both"/>
        <w:rPr>
          <w:rFonts w:ascii="Arial" w:hAnsi="Arial" w:cs="Arial"/>
          <w:sz w:val="24"/>
          <w:szCs w:val="24"/>
        </w:rPr>
      </w:pPr>
      <w:r>
        <w:rPr>
          <w:rFonts w:cs="Arial" w:ascii="Arial" w:hAnsi="Arial"/>
          <w:sz w:val="24"/>
          <w:szCs w:val="24"/>
        </w:rPr>
        <w:t>The setting should not operate without an identified designated safeguarding lead at any time.</w:t>
      </w:r>
    </w:p>
    <w:p>
      <w:pPr>
        <w:pStyle w:val="ListParagraph"/>
        <w:numPr>
          <w:ilvl w:val="0"/>
          <w:numId w:val="2"/>
        </w:numPr>
        <w:jc w:val="both"/>
        <w:rPr>
          <w:rFonts w:ascii="Arial" w:hAnsi="Arial" w:cs="Arial"/>
          <w:sz w:val="24"/>
          <w:szCs w:val="24"/>
        </w:rPr>
      </w:pPr>
      <w:r>
        <w:rPr>
          <w:rFonts w:cs="Arial" w:ascii="Arial" w:hAnsi="Arial"/>
          <w:sz w:val="24"/>
          <w:szCs w:val="24"/>
        </w:rPr>
        <w:t>The line manager of the designated safeguarding lead is the designated officer.</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informs the designated officer about serious concerns as soon as they arise and agree the action to be taken, seeking further clarification if there are any doubts that the issue is safeguarding.</w:t>
      </w:r>
    </w:p>
    <w:p>
      <w:pPr>
        <w:pStyle w:val="ListParagraph"/>
        <w:numPr>
          <w:ilvl w:val="0"/>
          <w:numId w:val="2"/>
        </w:numPr>
        <w:jc w:val="both"/>
        <w:rPr>
          <w:rFonts w:ascii="Arial" w:hAnsi="Arial" w:cs="Arial"/>
          <w:sz w:val="24"/>
          <w:szCs w:val="24"/>
        </w:rPr>
      </w:pPr>
      <w:r>
        <w:rPr>
          <w:rFonts w:cs="Arial" w:ascii="Arial" w:hAnsi="Arial"/>
          <w:sz w:val="24"/>
          <w:szCs w:val="24"/>
        </w:rPr>
        <w:t>If it is not possible to contact the designated officer, action to safeguard the child is taken first and the designated officer is informed later. If the designated officer is unavailable advice is sought from their line manager or equivalent.</w:t>
      </w:r>
    </w:p>
    <w:p>
      <w:pPr>
        <w:pStyle w:val="ListParagraph"/>
        <w:numPr>
          <w:ilvl w:val="0"/>
          <w:numId w:val="2"/>
        </w:numPr>
        <w:jc w:val="both"/>
        <w:rPr>
          <w:rFonts w:ascii="Arial" w:hAnsi="Arial" w:cs="Arial"/>
          <w:sz w:val="24"/>
          <w:szCs w:val="24"/>
        </w:rPr>
      </w:pPr>
      <w:r>
        <w:rPr>
          <w:rFonts w:cs="Arial" w:ascii="Arial" w:hAnsi="Arial"/>
          <w:sz w:val="24"/>
          <w:szCs w:val="24"/>
        </w:rPr>
        <w:t>Issues which may require notifying to Ofsted are notified to the designated officer to make a decision regarding notification. The designated safeguarding lead must remain up to date with Ofsted reporting and notification requirements.</w:t>
      </w:r>
    </w:p>
    <w:p>
      <w:pPr>
        <w:pStyle w:val="ListParagraph"/>
        <w:numPr>
          <w:ilvl w:val="0"/>
          <w:numId w:val="2"/>
        </w:numPr>
        <w:jc w:val="both"/>
        <w:rPr>
          <w:rFonts w:ascii="Arial" w:hAnsi="Arial" w:cs="Arial"/>
          <w:sz w:val="24"/>
          <w:szCs w:val="24"/>
        </w:rPr>
      </w:pPr>
      <w:r>
        <w:rPr>
          <w:rFonts w:cs="Arial" w:ascii="Arial" w:hAnsi="Arial"/>
          <w:sz w:val="24"/>
          <w:szCs w:val="24"/>
        </w:rPr>
        <w:t>If there is an incident, which may require reporting to RIDDOR the designated officer immediately seeks guidance from the owners/directors/trustees. There continues to be a requirement that the designated officer follows legislative requirements in relation to reporting to RIDDOR. This is fully addressed in section 01 Health and Safety procedures.</w:t>
      </w:r>
    </w:p>
    <w:p>
      <w:pPr>
        <w:pStyle w:val="ListParagraph"/>
        <w:numPr>
          <w:ilvl w:val="0"/>
          <w:numId w:val="2"/>
        </w:numPr>
        <w:jc w:val="both"/>
        <w:rPr>
          <w:rFonts w:ascii="Arial" w:hAnsi="Arial" w:cs="Arial"/>
          <w:sz w:val="24"/>
          <w:szCs w:val="24"/>
        </w:rPr>
      </w:pPr>
      <w:r>
        <w:rPr>
          <w:rFonts w:cs="Arial" w:ascii="Arial" w:hAnsi="Arial"/>
          <w:sz w:val="24"/>
          <w:szCs w:val="24"/>
        </w:rPr>
        <w:t>All settings follow procedures of their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whistle-blowing and escalation.</w:t>
      </w:r>
    </w:p>
    <w:p>
      <w:pPr>
        <w:pStyle w:val="Normal"/>
        <w:jc w:val="both"/>
        <w:rPr>
          <w:rFonts w:ascii="Arial" w:hAnsi="Arial" w:cs="Arial"/>
          <w:sz w:val="24"/>
          <w:szCs w:val="24"/>
        </w:rPr>
      </w:pPr>
      <w:r>
        <w:rPr>
          <w:rFonts w:cs="Arial" w:ascii="Arial" w:hAnsi="Arial"/>
          <w:sz w:val="24"/>
          <w:szCs w:val="24"/>
        </w:rPr>
      </w:r>
    </w:p>
    <w:p>
      <w:pPr>
        <w:pStyle w:val="ListParagraph"/>
        <w:numPr>
          <w:ilvl w:val="0"/>
          <w:numId w:val="4"/>
        </w:numPr>
        <w:spacing w:before="0" w:after="120"/>
        <w:contextualSpacing/>
        <w:jc w:val="both"/>
        <w:rPr>
          <w:rFonts w:ascii="Arial" w:hAnsi="Arial" w:cs="Arial"/>
          <w:b/>
          <w:b/>
          <w:bCs/>
          <w:sz w:val="24"/>
          <w:szCs w:val="24"/>
        </w:rPr>
      </w:pPr>
      <w:r>
        <w:rPr>
          <w:rFonts w:cs="Arial" w:ascii="Arial" w:hAnsi="Arial"/>
          <w:b/>
          <w:bCs/>
          <w:sz w:val="24"/>
          <w:szCs w:val="24"/>
        </w:rPr>
        <w:t>Responding to marks or injuries observed</w:t>
      </w:r>
    </w:p>
    <w:p>
      <w:pPr>
        <w:pStyle w:val="ListParagraph"/>
        <w:numPr>
          <w:ilvl w:val="0"/>
          <w:numId w:val="2"/>
        </w:numPr>
        <w:jc w:val="both"/>
        <w:rPr>
          <w:rFonts w:ascii="Arial" w:hAnsi="Arial" w:cs="Arial"/>
          <w:sz w:val="24"/>
          <w:szCs w:val="24"/>
        </w:rPr>
      </w:pPr>
      <w:r>
        <w:rPr>
          <w:rFonts w:cs="Arial" w:ascii="Arial" w:hAnsi="Arial"/>
          <w:sz w:val="24"/>
          <w:szCs w:val="24"/>
        </w:rPr>
        <w:t>If a member of staff observes or is informed by a parent/carer of a mark or injury to a child that happened at home or elsewhere, the member of staff makes a record of the information given to them by the parent/carer in the child’s personal file, which is signed by the parent/carer.</w:t>
      </w:r>
    </w:p>
    <w:p>
      <w:pPr>
        <w:pStyle w:val="ListParagraph"/>
        <w:numPr>
          <w:ilvl w:val="0"/>
          <w:numId w:val="2"/>
        </w:numPr>
        <w:jc w:val="both"/>
        <w:rPr>
          <w:rFonts w:ascii="Arial" w:hAnsi="Arial" w:cs="Arial"/>
          <w:sz w:val="24"/>
          <w:szCs w:val="24"/>
        </w:rPr>
      </w:pPr>
      <w:r>
        <w:rPr>
          <w:rFonts w:cs="Arial" w:ascii="Arial" w:hAnsi="Arial"/>
          <w:sz w:val="24"/>
          <w:szCs w:val="24"/>
        </w:rPr>
        <w:t>The member of staff advises the designated safeguarding lead as soon as possible if there are safeguarding concerns about the circumstance of the injury.</w:t>
      </w:r>
    </w:p>
    <w:p>
      <w:pPr>
        <w:pStyle w:val="ListParagraph"/>
        <w:numPr>
          <w:ilvl w:val="0"/>
          <w:numId w:val="2"/>
        </w:numPr>
        <w:jc w:val="both"/>
        <w:rPr>
          <w:rFonts w:ascii="Arial" w:hAnsi="Arial" w:cs="Arial"/>
          <w:sz w:val="24"/>
          <w:szCs w:val="24"/>
        </w:rPr>
      </w:pPr>
      <w:r>
        <w:rPr>
          <w:rFonts w:cs="Arial" w:ascii="Arial" w:hAnsi="Arial"/>
          <w:sz w:val="24"/>
          <w:szCs w:val="24"/>
        </w:rPr>
        <w:t>If there are concerns about the circumstances or explanation given by the parent/carer and/or child, the designated safeguarding lead decides the course of action to be taken after reviewing the record.</w:t>
      </w:r>
    </w:p>
    <w:p>
      <w:pPr>
        <w:pStyle w:val="ListParagraph"/>
        <w:numPr>
          <w:ilvl w:val="0"/>
          <w:numId w:val="2"/>
        </w:numPr>
        <w:jc w:val="both"/>
        <w:rPr>
          <w:rFonts w:ascii="Arial" w:hAnsi="Arial" w:cs="Arial"/>
          <w:sz w:val="24"/>
          <w:szCs w:val="24"/>
        </w:rPr>
      </w:pPr>
      <w:r>
        <w:rPr>
          <w:rFonts w:cs="Arial" w:ascii="Arial" w:hAnsi="Arial"/>
          <w:sz w:val="24"/>
          <w:szCs w:val="24"/>
        </w:rPr>
        <w:t>If the mark or injury is noticed later in the day and the parent is not present, this is raised with the designated safeguarding lead.</w:t>
      </w:r>
    </w:p>
    <w:p>
      <w:pPr>
        <w:pStyle w:val="ListParagraph"/>
        <w:numPr>
          <w:ilvl w:val="0"/>
          <w:numId w:val="2"/>
        </w:numPr>
        <w:jc w:val="both"/>
        <w:rPr>
          <w:rFonts w:ascii="Arial" w:hAnsi="Arial" w:cs="Arial"/>
          <w:sz w:val="24"/>
          <w:szCs w:val="24"/>
        </w:rPr>
      </w:pPr>
      <w:r>
        <w:rPr>
          <w:rFonts w:cs="Arial" w:ascii="Arial" w:hAnsi="Arial"/>
          <w:sz w:val="24"/>
          <w:szCs w:val="24"/>
        </w:rPr>
        <w:t>If there are concerns about the nature of the injury, and it is unlikely to have occurred at the setting, the designated safeguarding lead decides the course of action required and a record is made, taking into consideration any explanation given by the child.</w:t>
      </w:r>
    </w:p>
    <w:p>
      <w:pPr>
        <w:pStyle w:val="ListParagraph"/>
        <w:numPr>
          <w:ilvl w:val="0"/>
          <w:numId w:val="2"/>
        </w:numPr>
        <w:jc w:val="both"/>
        <w:rPr>
          <w:rFonts w:ascii="Arial" w:hAnsi="Arial" w:cs="Arial"/>
          <w:sz w:val="24"/>
          <w:szCs w:val="24"/>
        </w:rPr>
      </w:pPr>
      <w:r>
        <w:rPr>
          <w:rFonts w:cs="Arial" w:ascii="Arial" w:hAnsi="Arial"/>
          <w:sz w:val="24"/>
          <w:szCs w:val="24"/>
        </w:rPr>
        <w:t>If there is a likelihood that the injury is recent and occurred at the setting, this is raised with the designated safeguarding lead.</w:t>
      </w:r>
    </w:p>
    <w:p>
      <w:pPr>
        <w:pStyle w:val="ListParagraph"/>
        <w:numPr>
          <w:ilvl w:val="0"/>
          <w:numId w:val="2"/>
        </w:numPr>
        <w:jc w:val="both"/>
        <w:rPr>
          <w:rFonts w:ascii="Arial" w:hAnsi="Arial" w:cs="Arial"/>
          <w:sz w:val="24"/>
          <w:szCs w:val="24"/>
        </w:rPr>
      </w:pPr>
      <w:r>
        <w:rPr>
          <w:rFonts w:cs="Arial" w:ascii="Arial" w:hAnsi="Arial"/>
          <w:sz w:val="24"/>
          <w:szCs w:val="24"/>
        </w:rPr>
        <w:t>If there is no cause for further concern, a record is made in the individual child's chronology, with a note that the circumstances of the injury are not known.</w:t>
      </w:r>
    </w:p>
    <w:p>
      <w:pPr>
        <w:pStyle w:val="ListParagraph"/>
        <w:numPr>
          <w:ilvl w:val="0"/>
          <w:numId w:val="2"/>
        </w:numPr>
        <w:jc w:val="both"/>
        <w:rPr>
          <w:rFonts w:ascii="Arial" w:hAnsi="Arial" w:cs="Arial"/>
          <w:sz w:val="24"/>
          <w:szCs w:val="24"/>
        </w:rPr>
      </w:pPr>
      <w:r>
        <w:rPr>
          <w:rFonts w:cs="Arial" w:ascii="Arial" w:hAnsi="Arial"/>
          <w:sz w:val="24"/>
          <w:szCs w:val="24"/>
        </w:rPr>
        <w:t>If the injury is unlikely to have occurred at the setting, this is raised with the designated safeguarding lead.</w:t>
      </w:r>
    </w:p>
    <w:p>
      <w:pPr>
        <w:pStyle w:val="ListParagraph"/>
        <w:numPr>
          <w:ilvl w:val="0"/>
          <w:numId w:val="2"/>
        </w:numPr>
        <w:jc w:val="both"/>
        <w:rPr>
          <w:rFonts w:ascii="Arial" w:hAnsi="Arial" w:cs="Arial"/>
          <w:sz w:val="24"/>
          <w:szCs w:val="24"/>
        </w:rPr>
      </w:pPr>
      <w:r>
        <w:rPr>
          <w:rFonts w:cs="Arial" w:ascii="Arial" w:hAnsi="Arial"/>
          <w:sz w:val="24"/>
          <w:szCs w:val="24"/>
        </w:rPr>
        <w:t>The parent/carer is advised at the earliest opportunity.</w:t>
      </w:r>
    </w:p>
    <w:p>
      <w:pPr>
        <w:pStyle w:val="ListParagraph"/>
        <w:numPr>
          <w:ilvl w:val="0"/>
          <w:numId w:val="2"/>
        </w:numPr>
        <w:jc w:val="both"/>
        <w:rPr>
          <w:rFonts w:ascii="Arial" w:hAnsi="Arial" w:cs="Arial"/>
          <w:sz w:val="24"/>
          <w:szCs w:val="24"/>
        </w:rPr>
      </w:pPr>
      <w:r>
        <w:rPr>
          <w:rFonts w:cs="Arial" w:ascii="Arial" w:hAnsi="Arial"/>
          <w:sz w:val="24"/>
          <w:szCs w:val="24"/>
        </w:rPr>
        <w:t>If the parent believes that the injury was caused at the setting this is still recorded in the Accident Record and an accurate record of the discussion is made on the child’s personal file.</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spacing w:before="0" w:after="120"/>
        <w:contextualSpacing/>
        <w:jc w:val="both"/>
        <w:rPr>
          <w:rFonts w:ascii="Arial" w:hAnsi="Arial" w:cs="Arial"/>
          <w:b/>
          <w:b/>
          <w:bCs/>
          <w:sz w:val="24"/>
          <w:szCs w:val="24"/>
        </w:rPr>
      </w:pPr>
      <w:r>
        <w:rPr>
          <w:rFonts w:cs="Arial" w:ascii="Arial" w:hAnsi="Arial"/>
          <w:b/>
          <w:bCs/>
          <w:sz w:val="24"/>
          <w:szCs w:val="24"/>
        </w:rPr>
        <w:t>Responding to the signs and symptoms of abuse</w:t>
      </w:r>
    </w:p>
    <w:p>
      <w:pPr>
        <w:pStyle w:val="ListParagraph"/>
        <w:numPr>
          <w:ilvl w:val="0"/>
          <w:numId w:val="2"/>
        </w:numPr>
        <w:jc w:val="both"/>
        <w:rPr>
          <w:rFonts w:ascii="Arial" w:hAnsi="Arial" w:cs="Arial"/>
          <w:sz w:val="24"/>
          <w:szCs w:val="24"/>
        </w:rPr>
      </w:pPr>
      <w:r>
        <w:rPr>
          <w:rFonts w:cs="Arial" w:ascii="Arial" w:hAnsi="Arial"/>
          <w:sz w:val="24"/>
          <w:szCs w:val="24"/>
        </w:rPr>
        <w:t>Concerns about the welfare of a child are discussed with the designated safeguarding lead without delay.</w:t>
      </w:r>
    </w:p>
    <w:p>
      <w:pPr>
        <w:pStyle w:val="ListParagraph"/>
        <w:numPr>
          <w:ilvl w:val="0"/>
          <w:numId w:val="2"/>
        </w:numPr>
        <w:jc w:val="both"/>
        <w:rPr>
          <w:rFonts w:ascii="Arial" w:hAnsi="Arial" w:cs="Arial"/>
          <w:sz w:val="24"/>
          <w:szCs w:val="24"/>
        </w:rPr>
      </w:pPr>
      <w:r>
        <w:rPr>
          <w:rFonts w:cs="Arial" w:ascii="Arial" w:hAnsi="Arial"/>
          <w:sz w:val="24"/>
          <w:szCs w:val="24"/>
        </w:rPr>
        <w:t>A written record is made of the concern as soon as possible.</w:t>
      </w:r>
    </w:p>
    <w:p>
      <w:pPr>
        <w:pStyle w:val="ListParagraph"/>
        <w:numPr>
          <w:ilvl w:val="0"/>
          <w:numId w:val="2"/>
        </w:numPr>
        <w:jc w:val="both"/>
        <w:rPr>
          <w:rFonts w:ascii="Arial" w:hAnsi="Arial" w:cs="Arial"/>
          <w:sz w:val="24"/>
          <w:szCs w:val="24"/>
        </w:rPr>
      </w:pPr>
      <w:r>
        <w:rPr>
          <w:rFonts w:cs="Arial" w:ascii="Arial" w:hAnsi="Arial"/>
          <w:sz w:val="24"/>
          <w:szCs w:val="24"/>
        </w:rPr>
        <w:t>Concerns that a child is in immediate danger or at risk of significant harm are responded to immediately and if a referral is necessary this is made on the same working day.</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spacing w:before="0" w:after="120"/>
        <w:contextualSpacing/>
        <w:jc w:val="both"/>
        <w:rPr>
          <w:rFonts w:ascii="Arial" w:hAnsi="Arial" w:cs="Arial"/>
          <w:b/>
          <w:b/>
          <w:bCs/>
          <w:sz w:val="24"/>
          <w:szCs w:val="24"/>
        </w:rPr>
      </w:pPr>
      <w:r>
        <w:rPr>
          <w:rFonts w:cs="Arial" w:ascii="Arial" w:hAnsi="Arial"/>
          <w:b/>
          <w:bCs/>
          <w:sz w:val="24"/>
          <w:szCs w:val="24"/>
        </w:rPr>
        <w:t>Responding to a disclosure by a child</w:t>
      </w:r>
    </w:p>
    <w:p>
      <w:pPr>
        <w:pStyle w:val="ListParagraph"/>
        <w:numPr>
          <w:ilvl w:val="0"/>
          <w:numId w:val="2"/>
        </w:numPr>
        <w:jc w:val="both"/>
        <w:rPr>
          <w:rFonts w:ascii="Arial" w:hAnsi="Arial" w:cs="Arial"/>
          <w:sz w:val="24"/>
          <w:szCs w:val="24"/>
        </w:rPr>
      </w:pPr>
      <w:r>
        <w:rPr>
          <w:rFonts w:cs="Arial" w:ascii="Arial" w:hAnsi="Arial"/>
          <w:sz w:val="24"/>
          <w:szCs w:val="24"/>
        </w:rPr>
        <w:t>When responding to a disclosure from a child, the aim is to get just enough information to take appropriate action.</w:t>
      </w:r>
    </w:p>
    <w:p>
      <w:pPr>
        <w:pStyle w:val="ListParagraph"/>
        <w:numPr>
          <w:ilvl w:val="0"/>
          <w:numId w:val="2"/>
        </w:numPr>
        <w:jc w:val="both"/>
        <w:rPr>
          <w:rFonts w:ascii="Arial" w:hAnsi="Arial" w:cs="Arial"/>
          <w:sz w:val="24"/>
          <w:szCs w:val="24"/>
        </w:rPr>
      </w:pPr>
      <w:r>
        <w:rPr>
          <w:rFonts w:cs="Arial" w:ascii="Arial" w:hAnsi="Arial"/>
          <w:sz w:val="24"/>
          <w:szCs w:val="24"/>
        </w:rPr>
        <w:t>The member of staff at Eye Opportunity Group listens carefully and calmly, allowing the child time to express what they want to say.</w:t>
      </w:r>
    </w:p>
    <w:p>
      <w:pPr>
        <w:pStyle w:val="ListParagraph"/>
        <w:numPr>
          <w:ilvl w:val="0"/>
          <w:numId w:val="2"/>
        </w:numPr>
        <w:jc w:val="both"/>
        <w:rPr>
          <w:rFonts w:ascii="Arial" w:hAnsi="Arial" w:cs="Arial"/>
          <w:sz w:val="24"/>
          <w:szCs w:val="24"/>
        </w:rPr>
      </w:pPr>
      <w:r>
        <w:rPr>
          <w:rFonts w:cs="Arial" w:ascii="Arial" w:hAnsi="Arial"/>
          <w:sz w:val="24"/>
          <w:szCs w:val="24"/>
        </w:rPr>
        <w:t>Staff do not attempt to question the child but if they are not sure what the child said, or what they meant, they may prompt the child further by saying ‘tell me more about that’ or ‘show me again’.</w:t>
      </w:r>
    </w:p>
    <w:p>
      <w:pPr>
        <w:pStyle w:val="ListParagraph"/>
        <w:numPr>
          <w:ilvl w:val="0"/>
          <w:numId w:val="2"/>
        </w:numPr>
        <w:jc w:val="both"/>
        <w:rPr>
          <w:rFonts w:ascii="Arial" w:hAnsi="Arial" w:cs="Arial"/>
          <w:sz w:val="24"/>
          <w:szCs w:val="24"/>
        </w:rPr>
      </w:pPr>
      <w:r>
        <w:rPr>
          <w:rFonts w:cs="Arial" w:ascii="Arial" w:hAnsi="Arial"/>
          <w:sz w:val="24"/>
          <w:szCs w:val="24"/>
        </w:rPr>
        <w:t>After the initial disclosure, staff speak immediately to the designated safeguarding lead. They do not further question or attempt to interview a child.</w:t>
      </w:r>
    </w:p>
    <w:p>
      <w:pPr>
        <w:pStyle w:val="ListParagraph"/>
        <w:numPr>
          <w:ilvl w:val="0"/>
          <w:numId w:val="2"/>
        </w:numPr>
        <w:jc w:val="both"/>
        <w:rPr>
          <w:rFonts w:ascii="Arial" w:hAnsi="Arial" w:cs="Arial"/>
          <w:sz w:val="24"/>
          <w:szCs w:val="24"/>
        </w:rPr>
      </w:pPr>
      <w:r>
        <w:rPr>
          <w:rFonts w:cs="Arial" w:ascii="Arial" w:hAnsi="Arial"/>
          <w:sz w:val="24"/>
          <w:szCs w:val="24"/>
        </w:rPr>
        <w:t>If a child shows visible signs of abuse such as bruising or injury to any part of the body and it is age appropriate to do so, the key person will ask the child how it happened.</w:t>
      </w:r>
    </w:p>
    <w:p>
      <w:pPr>
        <w:pStyle w:val="ListParagraph"/>
        <w:numPr>
          <w:ilvl w:val="0"/>
          <w:numId w:val="2"/>
        </w:numPr>
        <w:jc w:val="both"/>
        <w:rPr>
          <w:rFonts w:ascii="Arial" w:hAnsi="Arial" w:cs="Arial"/>
          <w:sz w:val="24"/>
          <w:szCs w:val="24"/>
        </w:rPr>
      </w:pPr>
      <w:r>
        <w:rPr>
          <w:rFonts w:cs="Arial" w:ascii="Arial" w:hAnsi="Arial"/>
          <w:sz w:val="24"/>
          <w:szCs w:val="24"/>
        </w:rPr>
        <w:t>When recording a child’s disclosure, their exact words are used as well as the exact words with which the member of staff responded.</w:t>
      </w:r>
    </w:p>
    <w:p>
      <w:pPr>
        <w:pStyle w:val="ListParagraph"/>
        <w:numPr>
          <w:ilvl w:val="0"/>
          <w:numId w:val="2"/>
        </w:numPr>
        <w:jc w:val="both"/>
        <w:rPr>
          <w:rFonts w:ascii="Arial" w:hAnsi="Arial" w:cs="Arial"/>
          <w:sz w:val="24"/>
          <w:szCs w:val="24"/>
        </w:rPr>
      </w:pPr>
      <w:r>
        <w:rPr>
          <w:rFonts w:cs="Arial" w:ascii="Arial" w:hAnsi="Arial"/>
          <w:sz w:val="24"/>
          <w:szCs w:val="24"/>
        </w:rPr>
        <w:t>If marks or injuries are observed, these are recorded on a body diagram.</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spacing w:before="0" w:after="120"/>
        <w:contextualSpacing/>
        <w:jc w:val="both"/>
        <w:rPr>
          <w:rFonts w:ascii="Arial" w:hAnsi="Arial" w:cs="Arial"/>
          <w:b/>
          <w:b/>
          <w:bCs/>
          <w:sz w:val="24"/>
          <w:szCs w:val="24"/>
        </w:rPr>
      </w:pPr>
      <w:r>
        <w:rPr>
          <w:rFonts w:cs="Arial" w:ascii="Arial" w:hAnsi="Arial"/>
          <w:b/>
          <w:bCs/>
          <w:sz w:val="24"/>
          <w:szCs w:val="24"/>
        </w:rPr>
        <w:t>Decision making (all categories of abuse)</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makes a professional judgement about referring to other agencies, including Social Care using the Local Safeguarding Partnership (LSP) threshold document:</w:t>
      </w:r>
    </w:p>
    <w:p>
      <w:pPr>
        <w:pStyle w:val="ListParagraph"/>
        <w:numPr>
          <w:ilvl w:val="1"/>
          <w:numId w:val="2"/>
        </w:numPr>
        <w:jc w:val="both"/>
        <w:rPr>
          <w:rFonts w:ascii="Arial" w:hAnsi="Arial" w:cs="Arial"/>
          <w:sz w:val="24"/>
          <w:szCs w:val="24"/>
        </w:rPr>
      </w:pPr>
      <w:r>
        <w:rPr>
          <w:rFonts w:cs="Arial" w:ascii="Arial" w:hAnsi="Arial"/>
          <w:sz w:val="24"/>
          <w:szCs w:val="24"/>
        </w:rPr>
        <w:t>Level 1: Child’s needs are being met. Universal support.</w:t>
      </w:r>
    </w:p>
    <w:p>
      <w:pPr>
        <w:pStyle w:val="ListParagraph"/>
        <w:numPr>
          <w:ilvl w:val="1"/>
          <w:numId w:val="2"/>
        </w:numPr>
        <w:jc w:val="both"/>
        <w:rPr>
          <w:rFonts w:ascii="Arial" w:hAnsi="Arial" w:cs="Arial"/>
          <w:sz w:val="24"/>
          <w:szCs w:val="24"/>
        </w:rPr>
      </w:pPr>
      <w:r>
        <w:rPr>
          <w:rFonts w:cs="Arial" w:ascii="Arial" w:hAnsi="Arial"/>
          <w:sz w:val="24"/>
          <w:szCs w:val="24"/>
        </w:rPr>
        <w:t xml:space="preserve">Level 2: Universal Plus. Additional professional support is needed to meet child’s needs. </w:t>
      </w:r>
    </w:p>
    <w:p>
      <w:pPr>
        <w:pStyle w:val="ListParagraph"/>
        <w:numPr>
          <w:ilvl w:val="1"/>
          <w:numId w:val="2"/>
        </w:numPr>
        <w:jc w:val="both"/>
        <w:rPr>
          <w:rFonts w:ascii="Arial" w:hAnsi="Arial" w:cs="Arial"/>
          <w:sz w:val="24"/>
          <w:szCs w:val="24"/>
        </w:rPr>
      </w:pPr>
      <w:r>
        <w:rPr>
          <w:rFonts w:cs="Arial" w:ascii="Arial" w:hAnsi="Arial"/>
          <w:sz w:val="24"/>
          <w:szCs w:val="24"/>
        </w:rPr>
        <w:t>Level 3: Universal Partnership Plus. Targeted Early Help. Coordinated response needed to address multiple or complex problems.</w:t>
      </w:r>
    </w:p>
    <w:p>
      <w:pPr>
        <w:pStyle w:val="ListParagraph"/>
        <w:numPr>
          <w:ilvl w:val="1"/>
          <w:numId w:val="2"/>
        </w:numPr>
        <w:jc w:val="both"/>
        <w:rPr>
          <w:rFonts w:ascii="Arial" w:hAnsi="Arial" w:cs="Arial"/>
          <w:sz w:val="24"/>
          <w:szCs w:val="24"/>
        </w:rPr>
      </w:pPr>
      <w:r>
        <w:rPr>
          <w:rFonts w:cs="Arial" w:ascii="Arial" w:hAnsi="Arial"/>
          <w:sz w:val="24"/>
          <w:szCs w:val="24"/>
        </w:rPr>
        <w:t>Level 4: Specialist/Statutory intervention required. Children in acute need, likely to be experiencing, or at risk of experiencing significant harm.</w:t>
      </w:r>
    </w:p>
    <w:p>
      <w:pPr>
        <w:pStyle w:val="ListParagraph"/>
        <w:numPr>
          <w:ilvl w:val="0"/>
          <w:numId w:val="2"/>
        </w:numPr>
        <w:jc w:val="both"/>
        <w:rPr>
          <w:rFonts w:ascii="Arial" w:hAnsi="Arial" w:cs="Arial"/>
          <w:sz w:val="24"/>
          <w:szCs w:val="24"/>
        </w:rPr>
      </w:pPr>
      <w:r>
        <w:rPr>
          <w:rFonts w:cs="Arial" w:ascii="Arial" w:hAnsi="Arial"/>
          <w:sz w:val="24"/>
          <w:szCs w:val="24"/>
        </w:rPr>
        <w:t>Staff are alert to indicators that a family may benefit from early help services and should discuss this with the designated safeguarding lead, also recording this for the child’s file if they have not already done so.</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Seeking consent from parents/carers to share information before making a referral for early help (Tier 2/3*)</w:t>
      </w:r>
    </w:p>
    <w:p>
      <w:pPr>
        <w:pStyle w:val="ListParagraph"/>
        <w:numPr>
          <w:ilvl w:val="0"/>
          <w:numId w:val="2"/>
        </w:numPr>
        <w:jc w:val="both"/>
        <w:rPr>
          <w:rFonts w:ascii="Arial" w:hAnsi="Arial" w:cs="Arial"/>
          <w:sz w:val="24"/>
          <w:szCs w:val="24"/>
        </w:rPr>
      </w:pPr>
      <w:r>
        <w:rPr>
          <w:rFonts w:cs="Arial" w:ascii="Arial" w:hAnsi="Arial"/>
          <w:sz w:val="24"/>
          <w:szCs w:val="24"/>
        </w:rPr>
        <w:t xml:space="preserve">Parents are made aware of the setting’s Privacy Notice which explains the circumstances under which information about their child will be shared with other agencies. When a referral for early help is necessary, the designated safeguarding lead must always seek consent from the child’s parents/carer to share information with the relevant agency. </w:t>
      </w:r>
    </w:p>
    <w:p>
      <w:pPr>
        <w:pStyle w:val="ListParagraph"/>
        <w:numPr>
          <w:ilvl w:val="0"/>
          <w:numId w:val="2"/>
        </w:numPr>
        <w:jc w:val="both"/>
        <w:rPr>
          <w:rFonts w:ascii="Arial" w:hAnsi="Arial" w:cs="Arial"/>
          <w:sz w:val="24"/>
          <w:szCs w:val="24"/>
        </w:rPr>
      </w:pPr>
      <w:r>
        <w:rPr>
          <w:rFonts w:cs="Arial" w:ascii="Arial" w:hAnsi="Arial"/>
          <w:sz w:val="24"/>
          <w:szCs w:val="24"/>
        </w:rPr>
        <w:t>If consent is sought and withheld and there are concerns that a child may become at risk of significant harm without early intervention, there may be sufficient grounds to over-ride a parental decision to withhold consent.</w:t>
      </w:r>
    </w:p>
    <w:p>
      <w:pPr>
        <w:pStyle w:val="ListParagraph"/>
        <w:numPr>
          <w:ilvl w:val="0"/>
          <w:numId w:val="2"/>
        </w:numPr>
        <w:jc w:val="both"/>
        <w:rPr>
          <w:rFonts w:ascii="Arial" w:hAnsi="Arial" w:cs="Arial"/>
          <w:sz w:val="24"/>
          <w:szCs w:val="24"/>
        </w:rPr>
      </w:pPr>
      <w:r>
        <w:rPr>
          <w:rFonts w:cs="Arial" w:ascii="Arial" w:hAnsi="Arial"/>
          <w:sz w:val="24"/>
          <w:szCs w:val="24"/>
        </w:rPr>
        <w:t>If a parent/carer withholds consent, this information is included on any referral that is made to the local authority. In these circumstances a parent should still be told that the referral is being made beforehand (unless to do so may place a child at risk of harm).</w:t>
      </w:r>
    </w:p>
    <w:p>
      <w:pPr>
        <w:pStyle w:val="ListParagraph"/>
        <w:ind w:left="360" w:hanging="0"/>
        <w:jc w:val="both"/>
        <w:rPr>
          <w:rFonts w:ascii="Arial" w:hAnsi="Arial" w:cs="Arial"/>
          <w:sz w:val="24"/>
          <w:szCs w:val="24"/>
        </w:rPr>
      </w:pPr>
      <w:r>
        <w:rPr>
          <w:rFonts w:cs="Arial" w:ascii="Arial" w:hAnsi="Arial"/>
          <w:sz w:val="24"/>
          <w:szCs w:val="24"/>
        </w:rPr>
      </w:r>
    </w:p>
    <w:p>
      <w:pPr>
        <w:pStyle w:val="ListParagraph"/>
        <w:ind w:left="360" w:hanging="0"/>
        <w:jc w:val="both"/>
        <w:rPr>
          <w:rFonts w:ascii="Arial" w:hAnsi="Arial" w:cs="Arial"/>
          <w:sz w:val="24"/>
          <w:szCs w:val="24"/>
        </w:rPr>
      </w:pPr>
      <w:r>
        <w:rPr>
          <w:rFonts w:cs="Arial" w:ascii="Arial" w:hAnsi="Arial"/>
          <w:sz w:val="24"/>
          <w:szCs w:val="24"/>
        </w:rPr>
        <w:t>*Tier 2: Children with additional needs, who may be vulnerable and showing early signs of abuse and/or neglect; their needs are not clear, not known or not being met. Tier 3: Children with complex multiple needs, requiring specialist services in order to achieve or maintain a satisfactory level of health or development or to prevent significant impairment of their health and development and/or who are disabled.</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Informing parents when making a child protection referral</w:t>
      </w:r>
    </w:p>
    <w:p>
      <w:pPr>
        <w:pStyle w:val="ListParagraph"/>
        <w:numPr>
          <w:ilvl w:val="0"/>
          <w:numId w:val="2"/>
        </w:numPr>
        <w:jc w:val="both"/>
        <w:rPr>
          <w:rFonts w:ascii="Arial" w:hAnsi="Arial" w:cs="Arial"/>
          <w:sz w:val="24"/>
          <w:szCs w:val="24"/>
        </w:rPr>
      </w:pPr>
      <w:r>
        <w:rPr>
          <w:rFonts w:cs="Arial" w:ascii="Arial" w:hAnsi="Arial"/>
          <w:sz w:val="24"/>
          <w:szCs w:val="24"/>
        </w:rPr>
        <w:t>In most circumstances consent will not be required to make a child protection referral, because even if consent is refused, there is still a professional duty to act upon concerns and make a referral. When a child protection referral has been made, the designated safeguarding lead contacts the parents (only if agreed with social care) to inform them that a referral has been made, indicating the concerns that have been raised, unless social care advises that the parent should not be contacted until such time as their investigation, or the police investigation, is concluded. Parents are not informed prior to making a referral if:</w:t>
      </w:r>
    </w:p>
    <w:p>
      <w:pPr>
        <w:pStyle w:val="ListParagraph"/>
        <w:numPr>
          <w:ilvl w:val="1"/>
          <w:numId w:val="2"/>
        </w:numPr>
        <w:jc w:val="both"/>
        <w:rPr>
          <w:rFonts w:ascii="Arial" w:hAnsi="Arial" w:cs="Arial"/>
          <w:sz w:val="24"/>
          <w:szCs w:val="24"/>
        </w:rPr>
      </w:pPr>
      <w:r>
        <w:rPr>
          <w:rFonts w:cs="Arial" w:ascii="Arial" w:hAnsi="Arial"/>
          <w:sz w:val="24"/>
          <w:szCs w:val="24"/>
        </w:rPr>
        <w:t>there is a possibility that a child may be put at risk of harm by discussion with a parent/carer, or if a serious offence may have been committed, as it is important that any potential police investigation is not jeopardised</w:t>
      </w:r>
    </w:p>
    <w:p>
      <w:pPr>
        <w:pStyle w:val="ListParagraph"/>
        <w:numPr>
          <w:ilvl w:val="1"/>
          <w:numId w:val="2"/>
        </w:numPr>
        <w:jc w:val="both"/>
        <w:rPr>
          <w:rFonts w:ascii="Arial" w:hAnsi="Arial" w:cs="Arial"/>
          <w:sz w:val="24"/>
          <w:szCs w:val="24"/>
        </w:rPr>
      </w:pPr>
      <w:r>
        <w:rPr>
          <w:rFonts w:cs="Arial" w:ascii="Arial" w:hAnsi="Arial"/>
          <w:sz w:val="24"/>
          <w:szCs w:val="24"/>
        </w:rPr>
        <w:t>there are potential concerns about sexual abuse, fabricated illness, FGM or forced marriage</w:t>
      </w:r>
    </w:p>
    <w:p>
      <w:pPr>
        <w:pStyle w:val="ListParagraph"/>
        <w:numPr>
          <w:ilvl w:val="1"/>
          <w:numId w:val="2"/>
        </w:numPr>
        <w:jc w:val="both"/>
        <w:rPr>
          <w:rFonts w:ascii="Arial" w:hAnsi="Arial" w:cs="Arial"/>
          <w:sz w:val="24"/>
          <w:szCs w:val="24"/>
        </w:rPr>
      </w:pPr>
      <w:r>
        <w:rPr>
          <w:rFonts w:cs="Arial" w:ascii="Arial" w:hAnsi="Arial"/>
          <w:sz w:val="24"/>
          <w:szCs w:val="24"/>
        </w:rPr>
        <w:t>contacting the parent puts another person at risk; situations where one parent may be at risk of harm, e.g. abuse; situations where it has not been possible to contact parents to seek their consent may cause delay to the referral being made</w:t>
      </w:r>
    </w:p>
    <w:p>
      <w:pPr>
        <w:pStyle w:val="ListParagraph"/>
        <w:numPr>
          <w:ilvl w:val="0"/>
          <w:numId w:val="2"/>
        </w:numPr>
        <w:jc w:val="both"/>
        <w:rPr>
          <w:rFonts w:ascii="Arial" w:hAnsi="Arial" w:cs="Arial"/>
          <w:sz w:val="24"/>
          <w:szCs w:val="24"/>
        </w:rPr>
      </w:pPr>
      <w:r>
        <w:rPr>
          <w:rFonts w:cs="Arial" w:ascii="Arial" w:hAnsi="Arial"/>
          <w:sz w:val="24"/>
          <w:szCs w:val="24"/>
        </w:rPr>
        <w:t xml:space="preserve">The designated safeguarding lead makes a professional judgment regarding whether consent (from a parent)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Advice can also be sought from the designated officer.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 xml:space="preserve">Referring </w:t>
      </w:r>
    </w:p>
    <w:p>
      <w:pPr>
        <w:pStyle w:val="ListParagraph"/>
        <w:numPr>
          <w:ilvl w:val="0"/>
          <w:numId w:val="2"/>
        </w:numPr>
        <w:jc w:val="both"/>
        <w:rPr>
          <w:rFonts w:ascii="Arial" w:hAnsi="Arial" w:cs="Arial"/>
          <w:sz w:val="24"/>
          <w:szCs w:val="24"/>
        </w:rPr>
      </w:pPr>
      <w:r>
        <w:rPr>
          <w:rFonts w:cs="Arial" w:ascii="Arial" w:hAnsi="Arial"/>
          <w:sz w:val="24"/>
          <w:szCs w:val="24"/>
        </w:rPr>
        <w:t xml:space="preserve">The designated safeguarding lead or back-up follows their LSP procedures for making a referral. </w:t>
      </w:r>
    </w:p>
    <w:p>
      <w:pPr>
        <w:pStyle w:val="ListParagraph"/>
        <w:numPr>
          <w:ilvl w:val="0"/>
          <w:numId w:val="2"/>
        </w:numPr>
        <w:jc w:val="both"/>
        <w:rPr>
          <w:rFonts w:ascii="Arial" w:hAnsi="Arial" w:cs="Arial"/>
          <w:sz w:val="24"/>
          <w:szCs w:val="24"/>
        </w:rPr>
      </w:pPr>
      <w:r>
        <w:rPr>
          <w:rFonts w:cs="Arial" w:ascii="Arial" w:hAnsi="Arial"/>
          <w:sz w:val="24"/>
          <w:szCs w:val="24"/>
        </w:rPr>
        <w:t>If the designated safeguarding lead or their back-up is not on site, the most senior member of staff present takes responsibility for making the referral to social care.</w:t>
      </w:r>
    </w:p>
    <w:p>
      <w:pPr>
        <w:pStyle w:val="ListParagraph"/>
        <w:numPr>
          <w:ilvl w:val="0"/>
          <w:numId w:val="2"/>
        </w:numPr>
        <w:jc w:val="both"/>
        <w:rPr>
          <w:rFonts w:ascii="Arial" w:hAnsi="Arial" w:cs="Arial"/>
          <w:sz w:val="24"/>
          <w:szCs w:val="24"/>
        </w:rPr>
      </w:pPr>
      <w:r>
        <w:rPr>
          <w:rFonts w:cs="Arial" w:ascii="Arial" w:hAnsi="Arial"/>
          <w:sz w:val="24"/>
          <w:szCs w:val="24"/>
        </w:rPr>
        <w:t>If a child is believed to be in immediate danger, or an incident occurs at the end of the session and staff are concerned about the child going home that day, then the Police and/or social care are contacted immediately.</w:t>
      </w:r>
    </w:p>
    <w:p>
      <w:pPr>
        <w:pStyle w:val="ListParagraph"/>
        <w:numPr>
          <w:ilvl w:val="0"/>
          <w:numId w:val="2"/>
        </w:numPr>
        <w:jc w:val="both"/>
        <w:rPr>
          <w:rFonts w:ascii="Arial" w:hAnsi="Arial" w:cs="Arial"/>
          <w:sz w:val="24"/>
          <w:szCs w:val="24"/>
        </w:rPr>
      </w:pPr>
      <w:r>
        <w:rPr>
          <w:rFonts w:cs="Arial" w:ascii="Arial" w:hAnsi="Arial"/>
          <w:sz w:val="24"/>
          <w:szCs w:val="24"/>
        </w:rPr>
        <w:t>If the child is ‘safe’ because they are still in the setting, and there is time to do so, the senior member of staff contacts the setting’s designated officer for support.</w:t>
      </w:r>
    </w:p>
    <w:p>
      <w:pPr>
        <w:pStyle w:val="ListParagraph"/>
        <w:numPr>
          <w:ilvl w:val="0"/>
          <w:numId w:val="2"/>
        </w:numPr>
        <w:jc w:val="both"/>
        <w:rPr>
          <w:rFonts w:ascii="Arial" w:hAnsi="Arial" w:cs="Arial"/>
          <w:sz w:val="24"/>
          <w:szCs w:val="24"/>
        </w:rPr>
      </w:pPr>
      <w:r>
        <w:rPr>
          <w:rFonts w:cs="Arial" w:ascii="Arial" w:hAnsi="Arial"/>
          <w:sz w:val="24"/>
          <w:szCs w:val="24"/>
        </w:rPr>
        <w:t>Arrangements for cover (as above) when the designated safeguarding lead and back-up designated safeguarding lead are not on-site are agreed in advance by the setting manager and clearly communicated to all staff.</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Further recording</w:t>
      </w:r>
    </w:p>
    <w:p>
      <w:pPr>
        <w:pStyle w:val="ListParagraph"/>
        <w:numPr>
          <w:ilvl w:val="0"/>
          <w:numId w:val="2"/>
        </w:numPr>
        <w:jc w:val="both"/>
        <w:rPr>
          <w:rFonts w:ascii="Arial" w:hAnsi="Arial" w:cs="Arial"/>
          <w:sz w:val="24"/>
          <w:szCs w:val="24"/>
        </w:rPr>
      </w:pPr>
      <w:r>
        <w:rPr>
          <w:rFonts w:cs="Arial" w:ascii="Arial" w:hAnsi="Arial"/>
          <w:sz w:val="24"/>
          <w:szCs w:val="24"/>
        </w:rPr>
        <w:t>Discussion with parents/carer and any further discussion with social care is recorded. If recording a conversation with parents that is significant, regarding the incident or a related issue, parents are asked to sign and date a record of the conversation. It should be clearly recorded what action was taken, what the outcome was and any follow-up.</w:t>
      </w:r>
    </w:p>
    <w:p>
      <w:pPr>
        <w:pStyle w:val="ListParagraph"/>
        <w:numPr>
          <w:ilvl w:val="0"/>
          <w:numId w:val="2"/>
        </w:numPr>
        <w:jc w:val="both"/>
        <w:rPr>
          <w:rFonts w:ascii="Arial" w:hAnsi="Arial" w:cs="Arial"/>
          <w:sz w:val="24"/>
          <w:szCs w:val="24"/>
        </w:rPr>
      </w:pPr>
      <w:r>
        <w:rPr>
          <w:rFonts w:cs="Arial" w:ascii="Arial" w:hAnsi="Arial"/>
          <w:sz w:val="24"/>
          <w:szCs w:val="24"/>
        </w:rPr>
        <w:t>If a referral was made, copies of all documents are kept and stored securely and confidentially (including copies in the child’s safeguarding file).</w:t>
      </w:r>
    </w:p>
    <w:p>
      <w:pPr>
        <w:pStyle w:val="ListParagraph"/>
        <w:numPr>
          <w:ilvl w:val="0"/>
          <w:numId w:val="2"/>
        </w:numPr>
        <w:jc w:val="both"/>
        <w:rPr>
          <w:rFonts w:ascii="Arial" w:hAnsi="Arial" w:cs="Arial"/>
          <w:sz w:val="24"/>
          <w:szCs w:val="24"/>
        </w:rPr>
      </w:pPr>
      <w:r>
        <w:rPr>
          <w:rFonts w:cs="Arial" w:ascii="Arial" w:hAnsi="Arial"/>
          <w:sz w:val="24"/>
          <w:szCs w:val="24"/>
        </w:rPr>
        <w:t>Each member of staff/volunteer who has witnessed an incident or disclosure should also make a written statement.</w:t>
      </w:r>
    </w:p>
    <w:p>
      <w:pPr>
        <w:pStyle w:val="ListParagraph"/>
        <w:numPr>
          <w:ilvl w:val="0"/>
          <w:numId w:val="2"/>
        </w:numPr>
        <w:jc w:val="both"/>
        <w:rPr>
          <w:rFonts w:ascii="Arial" w:hAnsi="Arial" w:cs="Arial"/>
          <w:sz w:val="24"/>
          <w:szCs w:val="24"/>
        </w:rPr>
      </w:pPr>
      <w:r>
        <w:rPr>
          <w:rFonts w:cs="Arial" w:ascii="Arial" w:hAnsi="Arial"/>
          <w:sz w:val="24"/>
          <w:szCs w:val="24"/>
        </w:rPr>
        <w:t>The referral is recorded and kept on the child’s file.</w:t>
      </w:r>
    </w:p>
    <w:p>
      <w:pPr>
        <w:pStyle w:val="ListParagraph"/>
        <w:numPr>
          <w:ilvl w:val="0"/>
          <w:numId w:val="2"/>
        </w:numPr>
        <w:jc w:val="both"/>
        <w:rPr>
          <w:rFonts w:ascii="Arial" w:hAnsi="Arial" w:cs="Arial"/>
          <w:sz w:val="24"/>
          <w:szCs w:val="24"/>
        </w:rPr>
      </w:pPr>
      <w:r>
        <w:rPr>
          <w:rFonts w:cs="Arial" w:ascii="Arial" w:hAnsi="Arial"/>
          <w:sz w:val="24"/>
          <w:szCs w:val="24"/>
        </w:rPr>
        <w:t>Follow up phone calls to or from social care are recorded in the child’s file; with date, time, the name of the social care worker and what was said.</w:t>
      </w:r>
    </w:p>
    <w:p>
      <w:pPr>
        <w:pStyle w:val="ListParagraph"/>
        <w:numPr>
          <w:ilvl w:val="0"/>
          <w:numId w:val="2"/>
        </w:numPr>
        <w:jc w:val="both"/>
        <w:rPr>
          <w:rFonts w:ascii="Arial" w:hAnsi="Arial" w:cs="Arial"/>
          <w:sz w:val="24"/>
          <w:szCs w:val="24"/>
        </w:rPr>
      </w:pPr>
      <w:r>
        <w:rPr>
          <w:rFonts w:cs="Arial" w:ascii="Arial" w:hAnsi="Arial"/>
          <w:sz w:val="24"/>
          <w:szCs w:val="24"/>
        </w:rPr>
        <w:t xml:space="preserve">Safeguarding records are kept up to date and made available for confidential access by the designated officer to allow continuity of support during closures or holiday periods.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2"/>
        </w:numPr>
        <w:jc w:val="both"/>
        <w:rPr>
          <w:rFonts w:ascii="Arial" w:hAnsi="Arial" w:cs="Arial"/>
          <w:b/>
          <w:b/>
          <w:bCs/>
          <w:sz w:val="24"/>
          <w:szCs w:val="24"/>
        </w:rPr>
      </w:pPr>
      <w:r>
        <w:rPr>
          <w:rFonts w:cs="Arial" w:ascii="Arial" w:hAnsi="Arial"/>
          <w:b/>
          <w:bCs/>
          <w:sz w:val="24"/>
          <w:szCs w:val="24"/>
        </w:rPr>
        <w:t xml:space="preserve">Reporting a serious child protection incident </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is responsible for reporting to the designated officer and seeking advice if required prior to making a referral as described above.</w:t>
      </w:r>
    </w:p>
    <w:p>
      <w:pPr>
        <w:pStyle w:val="ListParagraph"/>
        <w:numPr>
          <w:ilvl w:val="0"/>
          <w:numId w:val="2"/>
        </w:numPr>
        <w:jc w:val="both"/>
        <w:rPr>
          <w:rFonts w:ascii="Arial" w:hAnsi="Arial" w:cs="Arial"/>
          <w:sz w:val="24"/>
          <w:szCs w:val="24"/>
        </w:rPr>
      </w:pPr>
      <w:r>
        <w:rPr>
          <w:rFonts w:cs="Arial" w:ascii="Arial" w:hAnsi="Arial"/>
          <w:sz w:val="24"/>
          <w:szCs w:val="24"/>
        </w:rPr>
        <w:t xml:space="preserve">For child protection concerns at Tier 3 and 4** it will be necessary for the designated safeguarding lead to record the incident and send it to the designated officer. </w:t>
      </w:r>
    </w:p>
    <w:p>
      <w:pPr>
        <w:pStyle w:val="ListParagraph"/>
        <w:numPr>
          <w:ilvl w:val="0"/>
          <w:numId w:val="2"/>
        </w:numPr>
        <w:jc w:val="both"/>
        <w:rPr>
          <w:rFonts w:ascii="Arial" w:hAnsi="Arial" w:cs="Arial"/>
          <w:sz w:val="24"/>
          <w:szCs w:val="24"/>
        </w:rPr>
      </w:pPr>
      <w:r>
        <w:rPr>
          <w:rFonts w:cs="Arial" w:ascii="Arial" w:hAnsi="Arial"/>
          <w:sz w:val="24"/>
          <w:szCs w:val="24"/>
        </w:rPr>
        <w:t>Further briefings are sent to the designated officer when updates are received until the issue is concluded.</w:t>
      </w:r>
    </w:p>
    <w:p>
      <w:pPr>
        <w:pStyle w:val="Normal"/>
        <w:jc w:val="both"/>
        <w:rPr>
          <w:rFonts w:ascii="Arial" w:hAnsi="Arial" w:cs="Arial"/>
          <w:sz w:val="24"/>
          <w:szCs w:val="24"/>
        </w:rPr>
      </w:pPr>
      <w:r>
        <w:rPr>
          <w:rFonts w:cs="Arial" w:ascii="Arial" w:hAnsi="Arial"/>
          <w:sz w:val="24"/>
          <w:szCs w:val="24"/>
        </w:rPr>
        <w:t>** Tier 3: Children with complex multiple needs, requiring specialist services in order to achieve or maintain a satisfactory level of health or development or to prevent significant impairment of their health and development and/or who are disabled. Tier 4: Children in acute need, who are suffering or are likely to suffer significant harm.</w:t>
      </w:r>
    </w:p>
    <w:p>
      <w:pPr>
        <w:pStyle w:val="Normal"/>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Professional disagreement/escalation process</w:t>
      </w:r>
    </w:p>
    <w:p>
      <w:pPr>
        <w:pStyle w:val="ListParagraph"/>
        <w:numPr>
          <w:ilvl w:val="0"/>
          <w:numId w:val="2"/>
        </w:numPr>
        <w:jc w:val="both"/>
        <w:rPr>
          <w:rFonts w:ascii="Arial" w:hAnsi="Arial" w:cs="Arial"/>
          <w:sz w:val="24"/>
          <w:szCs w:val="24"/>
        </w:rPr>
      </w:pPr>
      <w:r>
        <w:rPr>
          <w:rFonts w:cs="Arial" w:ascii="Arial" w:hAnsi="Arial"/>
          <w:sz w:val="24"/>
          <w:szCs w:val="24"/>
        </w:rPr>
        <w:t>If a staff member disagrees with a decision made by the designated safeguarding lead not to make a referral to social care they must initially discuss and try to resolve it with them.</w:t>
      </w:r>
    </w:p>
    <w:p>
      <w:pPr>
        <w:pStyle w:val="ListParagraph"/>
        <w:numPr>
          <w:ilvl w:val="0"/>
          <w:numId w:val="2"/>
        </w:numPr>
        <w:jc w:val="both"/>
        <w:rPr>
          <w:rFonts w:ascii="Arial" w:hAnsi="Arial" w:cs="Arial"/>
          <w:sz w:val="24"/>
          <w:szCs w:val="24"/>
        </w:rPr>
      </w:pPr>
      <w:r>
        <w:rPr>
          <w:rFonts w:cs="Arial" w:ascii="Arial" w:hAnsi="Arial"/>
          <w:sz w:val="24"/>
          <w:szCs w:val="24"/>
        </w:rPr>
        <w:t>If the disagreement cannot be resolved with the designated safeguarding lead and the staff member continues to feel a safeguarding referral is required then they discuss this with the designated officer.</w:t>
      </w:r>
    </w:p>
    <w:p>
      <w:pPr>
        <w:pStyle w:val="ListParagraph"/>
        <w:numPr>
          <w:ilvl w:val="0"/>
          <w:numId w:val="2"/>
        </w:numPr>
        <w:jc w:val="both"/>
        <w:rPr>
          <w:rFonts w:ascii="Arial" w:hAnsi="Arial" w:cs="Arial"/>
          <w:sz w:val="24"/>
          <w:szCs w:val="24"/>
        </w:rPr>
      </w:pPr>
      <w:r>
        <w:rPr>
          <w:rFonts w:cs="Arial" w:ascii="Arial" w:hAnsi="Arial"/>
          <w:sz w:val="24"/>
          <w:szCs w:val="24"/>
        </w:rPr>
        <w:t>If issues cannot be resolved the whistleblowing policy should be used, as set out below.</w:t>
      </w:r>
    </w:p>
    <w:p>
      <w:pPr>
        <w:pStyle w:val="ListParagraph"/>
        <w:numPr>
          <w:ilvl w:val="0"/>
          <w:numId w:val="2"/>
        </w:numPr>
        <w:jc w:val="both"/>
        <w:rPr>
          <w:rFonts w:ascii="Arial" w:hAnsi="Arial" w:cs="Arial"/>
          <w:sz w:val="24"/>
          <w:szCs w:val="24"/>
        </w:rPr>
      </w:pPr>
      <w:r>
        <w:rPr>
          <w:rFonts w:cs="Arial" w:ascii="Arial" w:hAnsi="Arial"/>
          <w:sz w:val="24"/>
          <w:szCs w:val="24"/>
        </w:rPr>
        <w:t xml:space="preserve">Supervision sessions are also used to discuss concerns but this must not delay making safeguarding referrals. </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Whistleblowing</w:t>
      </w:r>
    </w:p>
    <w:p>
      <w:pPr>
        <w:pStyle w:val="Normal"/>
        <w:jc w:val="both"/>
        <w:rPr>
          <w:rFonts w:ascii="Arial" w:hAnsi="Arial" w:cs="Arial"/>
          <w:sz w:val="24"/>
          <w:szCs w:val="24"/>
        </w:rPr>
      </w:pPr>
      <w:r>
        <w:rPr>
          <w:rFonts w:cs="Arial" w:ascii="Arial" w:hAnsi="Arial"/>
          <w:sz w:val="24"/>
          <w:szCs w:val="24"/>
        </w:rPr>
        <w:t>Eye Opportunity Group will ensure that all staff are familiar with the whistleblowing procedure.</w:t>
      </w:r>
    </w:p>
    <w:p>
      <w:pPr>
        <w:pStyle w:val="ListParagraph"/>
        <w:numPr>
          <w:ilvl w:val="0"/>
          <w:numId w:val="2"/>
        </w:numPr>
        <w:jc w:val="both"/>
        <w:rPr>
          <w:rFonts w:ascii="Arial" w:hAnsi="Arial" w:cs="Arial"/>
          <w:sz w:val="24"/>
          <w:szCs w:val="24"/>
        </w:rPr>
      </w:pPr>
      <w:r>
        <w:rPr>
          <w:rFonts w:cs="Arial" w:ascii="Arial" w:hAnsi="Arial"/>
          <w:sz w:val="24"/>
          <w:szCs w:val="24"/>
        </w:rPr>
        <w:t>The whistleblowing procedure must be followed in the first instance if:</w:t>
      </w:r>
    </w:p>
    <w:p>
      <w:pPr>
        <w:pStyle w:val="ListParagraph"/>
        <w:numPr>
          <w:ilvl w:val="1"/>
          <w:numId w:val="2"/>
        </w:numPr>
        <w:jc w:val="both"/>
        <w:rPr>
          <w:rFonts w:ascii="Arial" w:hAnsi="Arial" w:cs="Arial"/>
          <w:sz w:val="24"/>
          <w:szCs w:val="24"/>
        </w:rPr>
      </w:pPr>
      <w:r>
        <w:rPr>
          <w:rFonts w:cs="Arial" w:ascii="Arial" w:hAnsi="Arial"/>
          <w:sz w:val="24"/>
          <w:szCs w:val="24"/>
        </w:rPr>
        <w:t>a criminal offence has been committed, is being committed or is likely to be committed</w:t>
      </w:r>
    </w:p>
    <w:p>
      <w:pPr>
        <w:pStyle w:val="ListParagraph"/>
        <w:numPr>
          <w:ilvl w:val="1"/>
          <w:numId w:val="2"/>
        </w:numPr>
        <w:jc w:val="both"/>
        <w:rPr>
          <w:rFonts w:ascii="Arial" w:hAnsi="Arial" w:cs="Arial"/>
          <w:sz w:val="24"/>
          <w:szCs w:val="24"/>
        </w:rPr>
      </w:pPr>
      <w:r>
        <w:rPr>
          <w:rFonts w:cs="Arial" w:ascii="Arial" w:hAnsi="Arial"/>
          <w:sz w:val="24"/>
          <w:szCs w:val="24"/>
        </w:rPr>
        <w:t>a person has failed, is failing or is likely to fail to comply with any legal obligation to which he or she is subject. This includes non-compliance with policies and procedures, breaches of EYFS and/or registration requirements</w:t>
      </w:r>
    </w:p>
    <w:p>
      <w:pPr>
        <w:pStyle w:val="ListParagraph"/>
        <w:numPr>
          <w:ilvl w:val="1"/>
          <w:numId w:val="2"/>
        </w:numPr>
        <w:jc w:val="both"/>
        <w:rPr>
          <w:rFonts w:ascii="Arial" w:hAnsi="Arial" w:cs="Arial"/>
          <w:sz w:val="24"/>
          <w:szCs w:val="24"/>
        </w:rPr>
      </w:pPr>
      <w:r>
        <w:rPr>
          <w:rFonts w:cs="Arial" w:ascii="Arial" w:hAnsi="Arial"/>
          <w:sz w:val="24"/>
          <w:szCs w:val="24"/>
        </w:rPr>
        <w:t>a miscarriage of justice has occurred, is occurring or is likely to occur</w:t>
      </w:r>
    </w:p>
    <w:p>
      <w:pPr>
        <w:pStyle w:val="ListParagraph"/>
        <w:numPr>
          <w:ilvl w:val="1"/>
          <w:numId w:val="2"/>
        </w:numPr>
        <w:jc w:val="both"/>
        <w:rPr>
          <w:rFonts w:ascii="Arial" w:hAnsi="Arial" w:cs="Arial"/>
          <w:sz w:val="24"/>
          <w:szCs w:val="24"/>
        </w:rPr>
      </w:pPr>
      <w:r>
        <w:rPr>
          <w:rFonts w:cs="Arial" w:ascii="Arial" w:hAnsi="Arial"/>
          <w:sz w:val="24"/>
          <w:szCs w:val="24"/>
        </w:rPr>
        <w:t>the health and safety of any individual has been, is being or is likely to be endangered</w:t>
      </w:r>
    </w:p>
    <w:p>
      <w:pPr>
        <w:pStyle w:val="ListParagraph"/>
        <w:numPr>
          <w:ilvl w:val="1"/>
          <w:numId w:val="2"/>
        </w:numPr>
        <w:jc w:val="both"/>
        <w:rPr>
          <w:rFonts w:ascii="Arial" w:hAnsi="Arial" w:cs="Arial"/>
          <w:sz w:val="24"/>
          <w:szCs w:val="24"/>
        </w:rPr>
      </w:pPr>
      <w:r>
        <w:rPr>
          <w:rFonts w:cs="Arial" w:ascii="Arial" w:hAnsi="Arial"/>
          <w:sz w:val="24"/>
          <w:szCs w:val="24"/>
        </w:rPr>
        <w:t>the working environment has been, is being or is likely to be damaged;</w:t>
      </w:r>
    </w:p>
    <w:p>
      <w:pPr>
        <w:pStyle w:val="ListParagraph"/>
        <w:numPr>
          <w:ilvl w:val="1"/>
          <w:numId w:val="2"/>
        </w:numPr>
        <w:jc w:val="both"/>
        <w:rPr>
          <w:rFonts w:ascii="Arial" w:hAnsi="Arial" w:cs="Arial"/>
          <w:sz w:val="24"/>
          <w:szCs w:val="24"/>
        </w:rPr>
      </w:pPr>
      <w:r>
        <w:rPr>
          <w:rFonts w:cs="Arial" w:ascii="Arial" w:hAnsi="Arial"/>
          <w:sz w:val="24"/>
          <w:szCs w:val="24"/>
        </w:rPr>
        <w:t>that information tending to show any matter falling within any one of the preceding clauses has been, is being or is likely to be deliberately concealed</w:t>
      </w:r>
    </w:p>
    <w:p>
      <w:pPr>
        <w:pStyle w:val="ListParagraph"/>
        <w:numPr>
          <w:ilvl w:val="0"/>
          <w:numId w:val="2"/>
        </w:numPr>
        <w:jc w:val="both"/>
        <w:rPr>
          <w:rFonts w:ascii="Arial" w:hAnsi="Arial" w:cs="Arial"/>
          <w:sz w:val="24"/>
          <w:szCs w:val="24"/>
        </w:rPr>
      </w:pPr>
      <w:r>
        <w:rPr>
          <w:rFonts w:cs="Arial" w:ascii="Arial" w:hAnsi="Arial"/>
          <w:sz w:val="24"/>
          <w:szCs w:val="24"/>
        </w:rPr>
        <w:t>There are 3 stages to raising concerns as follows:</w:t>
      </w:r>
    </w:p>
    <w:p>
      <w:pPr>
        <w:pStyle w:val="ListParagraph"/>
        <w:numPr>
          <w:ilvl w:val="1"/>
          <w:numId w:val="5"/>
        </w:numPr>
        <w:jc w:val="both"/>
        <w:rPr>
          <w:rFonts w:ascii="Arial" w:hAnsi="Arial" w:cs="Arial"/>
          <w:sz w:val="24"/>
          <w:szCs w:val="24"/>
        </w:rPr>
      </w:pPr>
      <w:r>
        <w:rPr>
          <w:rFonts w:cs="Arial" w:ascii="Arial" w:hAnsi="Arial"/>
          <w:sz w:val="24"/>
          <w:szCs w:val="24"/>
        </w:rPr>
        <w:t xml:space="preserve">If staff wish to raise or discuss any issues which might fall into the above categories, they should normally raise this issue with their manager/designated safeguarding lead. </w:t>
      </w:r>
    </w:p>
    <w:p>
      <w:pPr>
        <w:pStyle w:val="ListParagraph"/>
        <w:numPr>
          <w:ilvl w:val="1"/>
          <w:numId w:val="5"/>
        </w:numPr>
        <w:jc w:val="both"/>
        <w:rPr>
          <w:rFonts w:ascii="Arial" w:hAnsi="Arial" w:cs="Arial"/>
          <w:sz w:val="24"/>
          <w:szCs w:val="24"/>
        </w:rPr>
      </w:pPr>
      <w:r>
        <w:rPr>
          <w:rFonts w:cs="Arial" w:ascii="Arial" w:hAnsi="Arial"/>
          <w:sz w:val="24"/>
          <w:szCs w:val="24"/>
        </w:rPr>
        <w:t xml:space="preserve">Staff who are unable to raise the issue with their manager/designated safeguarding lead should raise the issue with their line manager’s manager/Designated Officer. </w:t>
      </w:r>
    </w:p>
    <w:p>
      <w:pPr>
        <w:pStyle w:val="ListParagraph"/>
        <w:numPr>
          <w:ilvl w:val="1"/>
          <w:numId w:val="5"/>
        </w:numPr>
        <w:jc w:val="both"/>
        <w:rPr>
          <w:rFonts w:ascii="Arial" w:hAnsi="Arial" w:cs="Arial"/>
          <w:sz w:val="24"/>
          <w:szCs w:val="24"/>
        </w:rPr>
      </w:pPr>
      <w:r>
        <w:rPr>
          <w:rFonts w:cs="Arial" w:ascii="Arial" w:hAnsi="Arial"/>
          <w:sz w:val="24"/>
          <w:szCs w:val="24"/>
        </w:rPr>
        <w:t>If staff are still concerned after the investigation, or the matter is so serious that they cannot discuss it with a line manager, they should raise the matter with The Chairperson of the Trustees.</w:t>
      </w:r>
    </w:p>
    <w:p>
      <w:pPr>
        <w:pStyle w:val="ListParagraph"/>
        <w:numPr>
          <w:ilvl w:val="0"/>
          <w:numId w:val="2"/>
        </w:numPr>
        <w:jc w:val="both"/>
        <w:rPr>
          <w:rFonts w:ascii="Arial" w:hAnsi="Arial" w:cs="Arial"/>
          <w:sz w:val="24"/>
          <w:szCs w:val="24"/>
        </w:rPr>
      </w:pPr>
      <w:r>
        <w:rPr>
          <w:rFonts w:cs="Arial" w:ascii="Arial" w:hAnsi="Arial"/>
          <w:sz w:val="24"/>
          <w:szCs w:val="24"/>
        </w:rPr>
        <w:t xml:space="preserve">After a concern has been raised, the manager/line manager will decide how to respond in a reasonable and appropriate manner. Normally this will involve making internal enquires first, but it may be necessary to carry out an investigation. </w:t>
      </w:r>
    </w:p>
    <w:p>
      <w:pPr>
        <w:pStyle w:val="ListParagraph"/>
        <w:numPr>
          <w:ilvl w:val="0"/>
          <w:numId w:val="2"/>
        </w:numPr>
        <w:jc w:val="both"/>
        <w:rPr>
          <w:rFonts w:ascii="Arial" w:hAnsi="Arial" w:cs="Arial"/>
          <w:sz w:val="24"/>
          <w:szCs w:val="24"/>
        </w:rPr>
      </w:pPr>
      <w:r>
        <w:rPr>
          <w:rFonts w:cs="Arial" w:ascii="Arial" w:hAnsi="Arial"/>
          <w:sz w:val="24"/>
          <w:szCs w:val="24"/>
        </w:rPr>
        <w:t>Whilst it is hoped that such disclosures will never be necessary, the setting management recognises that it may find itself in circumstances which are new to it. Each case will be treated on its own merits.</w:t>
      </w:r>
    </w:p>
    <w:p>
      <w:pPr>
        <w:pStyle w:val="Normal"/>
        <w:jc w:val="both"/>
        <w:rPr>
          <w:rFonts w:ascii="Arial" w:hAnsi="Arial" w:cs="Arial"/>
          <w:b/>
          <w:b/>
          <w:bCs/>
          <w:sz w:val="24"/>
          <w:szCs w:val="24"/>
        </w:rPr>
      </w:pPr>
      <w:r>
        <w:rPr>
          <w:rFonts w:cs="Arial" w:ascii="Arial" w:hAnsi="Arial"/>
          <w:b/>
          <w:bCs/>
          <w:sz w:val="24"/>
          <w:szCs w:val="24"/>
        </w:rPr>
      </w:r>
    </w:p>
    <w:p>
      <w:pPr>
        <w:pStyle w:val="Normal"/>
        <w:jc w:val="both"/>
        <w:rPr>
          <w:rFonts w:ascii="Arial" w:hAnsi="Arial" w:cs="Arial"/>
          <w:i/>
          <w:i/>
          <w:iCs/>
          <w:sz w:val="24"/>
          <w:szCs w:val="24"/>
        </w:rPr>
      </w:pPr>
      <w:r>
        <w:rPr>
          <w:rFonts w:cs="Arial" w:ascii="Arial" w:hAnsi="Arial"/>
          <w:i/>
          <w:iCs/>
          <w:sz w:val="24"/>
          <w:szCs w:val="24"/>
        </w:rPr>
        <w:t xml:space="preserve">Managers’ responsibilities </w:t>
      </w:r>
    </w:p>
    <w:p>
      <w:pPr>
        <w:pStyle w:val="ListParagraph"/>
        <w:numPr>
          <w:ilvl w:val="0"/>
          <w:numId w:val="2"/>
        </w:numPr>
        <w:jc w:val="both"/>
        <w:rPr>
          <w:rFonts w:ascii="Arial" w:hAnsi="Arial" w:cs="Arial"/>
          <w:sz w:val="24"/>
          <w:szCs w:val="24"/>
        </w:rPr>
      </w:pPr>
      <w:r>
        <w:rPr>
          <w:rFonts w:cs="Arial" w:ascii="Arial" w:hAnsi="Arial"/>
          <w:sz w:val="24"/>
          <w:szCs w:val="24"/>
        </w:rPr>
        <w:t>Managers/line managers notified of concerns under this policy are expected to:</w:t>
      </w:r>
    </w:p>
    <w:p>
      <w:pPr>
        <w:pStyle w:val="ListParagraph"/>
        <w:numPr>
          <w:ilvl w:val="1"/>
          <w:numId w:val="2"/>
        </w:numPr>
        <w:jc w:val="both"/>
        <w:rPr>
          <w:rFonts w:ascii="Arial" w:hAnsi="Arial" w:cs="Arial"/>
          <w:sz w:val="24"/>
          <w:szCs w:val="24"/>
        </w:rPr>
      </w:pPr>
      <w:r>
        <w:rPr>
          <w:rFonts w:cs="Arial" w:ascii="Arial" w:hAnsi="Arial"/>
          <w:sz w:val="24"/>
          <w:szCs w:val="24"/>
        </w:rPr>
        <w:t>ensure that all staff and volunteers are familiar with the policy;</w:t>
      </w:r>
    </w:p>
    <w:p>
      <w:pPr>
        <w:pStyle w:val="ListParagraph"/>
        <w:numPr>
          <w:ilvl w:val="1"/>
          <w:numId w:val="2"/>
        </w:numPr>
        <w:jc w:val="both"/>
        <w:rPr>
          <w:rFonts w:ascii="Arial" w:hAnsi="Arial" w:cs="Arial"/>
          <w:sz w:val="24"/>
          <w:szCs w:val="24"/>
        </w:rPr>
      </w:pPr>
      <w:r>
        <w:rPr>
          <w:rFonts w:cs="Arial" w:ascii="Arial" w:hAnsi="Arial"/>
          <w:sz w:val="24"/>
          <w:szCs w:val="24"/>
        </w:rPr>
        <w:t>ensure that concerns raised are taken seriously;</w:t>
      </w:r>
    </w:p>
    <w:p>
      <w:pPr>
        <w:pStyle w:val="ListParagraph"/>
        <w:numPr>
          <w:ilvl w:val="1"/>
          <w:numId w:val="2"/>
        </w:numPr>
        <w:jc w:val="both"/>
        <w:rPr>
          <w:rFonts w:ascii="Arial" w:hAnsi="Arial" w:cs="Arial"/>
          <w:sz w:val="24"/>
          <w:szCs w:val="24"/>
        </w:rPr>
      </w:pPr>
      <w:r>
        <w:rPr>
          <w:rFonts w:cs="Arial" w:ascii="Arial" w:hAnsi="Arial"/>
          <w:sz w:val="24"/>
          <w:szCs w:val="24"/>
        </w:rPr>
        <w:t>treat the matter in confidence, within the parameters of the case;</w:t>
      </w:r>
    </w:p>
    <w:p>
      <w:pPr>
        <w:pStyle w:val="ListParagraph"/>
        <w:numPr>
          <w:ilvl w:val="1"/>
          <w:numId w:val="2"/>
        </w:numPr>
        <w:jc w:val="both"/>
        <w:rPr>
          <w:rFonts w:ascii="Arial" w:hAnsi="Arial" w:cs="Arial"/>
          <w:sz w:val="24"/>
          <w:szCs w:val="24"/>
        </w:rPr>
      </w:pPr>
      <w:r>
        <w:rPr>
          <w:rFonts w:cs="Arial" w:ascii="Arial" w:hAnsi="Arial"/>
          <w:sz w:val="24"/>
          <w:szCs w:val="24"/>
        </w:rPr>
        <w:t>where appropriate, investigate properly and make an objective assessment of the concern;</w:t>
      </w:r>
    </w:p>
    <w:p>
      <w:pPr>
        <w:pStyle w:val="ListParagraph"/>
        <w:numPr>
          <w:ilvl w:val="1"/>
          <w:numId w:val="2"/>
        </w:numPr>
        <w:jc w:val="both"/>
        <w:rPr>
          <w:rFonts w:ascii="Arial" w:hAnsi="Arial" w:cs="Arial"/>
          <w:sz w:val="24"/>
          <w:szCs w:val="24"/>
        </w:rPr>
      </w:pPr>
      <w:r>
        <w:rPr>
          <w:rFonts w:cs="Arial" w:ascii="Arial" w:hAnsi="Arial"/>
          <w:sz w:val="24"/>
          <w:szCs w:val="24"/>
        </w:rPr>
        <w:t>keep the person raising the concern updated with progress, without breaching confidentiality;</w:t>
      </w:r>
    </w:p>
    <w:p>
      <w:pPr>
        <w:pStyle w:val="ListParagraph"/>
        <w:numPr>
          <w:ilvl w:val="1"/>
          <w:numId w:val="2"/>
        </w:numPr>
        <w:jc w:val="both"/>
        <w:rPr>
          <w:rFonts w:ascii="Arial" w:hAnsi="Arial" w:cs="Arial"/>
          <w:sz w:val="24"/>
          <w:szCs w:val="24"/>
        </w:rPr>
      </w:pPr>
      <w:r>
        <w:rPr>
          <w:rFonts w:cs="Arial" w:ascii="Arial" w:hAnsi="Arial"/>
          <w:sz w:val="24"/>
          <w:szCs w:val="24"/>
        </w:rPr>
        <w:t>ensure that the action necessary to resolve a concern is taken;</w:t>
      </w:r>
    </w:p>
    <w:p>
      <w:pPr>
        <w:pStyle w:val="ListParagraph"/>
        <w:numPr>
          <w:ilvl w:val="1"/>
          <w:numId w:val="2"/>
        </w:numPr>
        <w:jc w:val="both"/>
        <w:rPr>
          <w:rFonts w:ascii="Arial" w:hAnsi="Arial" w:cs="Arial"/>
          <w:sz w:val="24"/>
          <w:szCs w:val="24"/>
        </w:rPr>
      </w:pPr>
      <w:r>
        <w:rPr>
          <w:rFonts w:cs="Arial" w:ascii="Arial" w:hAnsi="Arial"/>
          <w:sz w:val="24"/>
          <w:szCs w:val="24"/>
        </w:rPr>
        <w:t>take appropriate steps to ensure that the employee’s working environment and/or working relationship is/are not prejudiced by the fact of disclosure.</w:t>
      </w:r>
    </w:p>
    <w:p>
      <w:pPr>
        <w:pStyle w:val="ListParagraph"/>
        <w:ind w:left="1080" w:hanging="0"/>
        <w:jc w:val="both"/>
        <w:rPr>
          <w:rFonts w:ascii="Arial" w:hAnsi="Arial" w:cs="Arial"/>
          <w:sz w:val="24"/>
          <w:szCs w:val="24"/>
        </w:rPr>
      </w:pPr>
      <w:r>
        <w:rPr>
          <w:rFonts w:cs="Arial" w:ascii="Arial" w:hAnsi="Arial"/>
          <w:sz w:val="24"/>
          <w:szCs w:val="24"/>
        </w:rPr>
      </w:r>
    </w:p>
    <w:p>
      <w:pPr>
        <w:pStyle w:val="ListParagraph"/>
        <w:numPr>
          <w:ilvl w:val="0"/>
          <w:numId w:val="2"/>
        </w:numPr>
        <w:jc w:val="both"/>
        <w:rPr>
          <w:rFonts w:ascii="Arial" w:hAnsi="Arial" w:cs="Arial"/>
          <w:sz w:val="24"/>
          <w:szCs w:val="24"/>
        </w:rPr>
      </w:pPr>
      <w:r>
        <w:rPr>
          <w:rFonts w:cs="Arial" w:ascii="Arial" w:hAnsi="Arial"/>
          <w:sz w:val="24"/>
          <w:szCs w:val="24"/>
        </w:rPr>
        <w:t>Ultimately, if an issue cannot be resolved and the member of staff believes a child remains at risk because the setting or the local authority have not responded appropriately, the NSPCC have introduced a whistleblowing helpline 0800 028 0285 for professionals who believe that:</w:t>
      </w:r>
    </w:p>
    <w:p>
      <w:pPr>
        <w:pStyle w:val="ListParagraph"/>
        <w:numPr>
          <w:ilvl w:val="1"/>
          <w:numId w:val="2"/>
        </w:numPr>
        <w:jc w:val="both"/>
        <w:rPr>
          <w:rFonts w:ascii="Arial" w:hAnsi="Arial" w:cs="Arial"/>
          <w:sz w:val="24"/>
          <w:szCs w:val="24"/>
        </w:rPr>
      </w:pPr>
      <w:r>
        <w:rPr>
          <w:rFonts w:cs="Arial" w:ascii="Arial" w:hAnsi="Arial"/>
          <w:sz w:val="24"/>
          <w:szCs w:val="24"/>
        </w:rPr>
        <w:t>their own or another employer will cover up the concern</w:t>
      </w:r>
    </w:p>
    <w:p>
      <w:pPr>
        <w:pStyle w:val="ListParagraph"/>
        <w:numPr>
          <w:ilvl w:val="1"/>
          <w:numId w:val="2"/>
        </w:numPr>
        <w:jc w:val="both"/>
        <w:rPr>
          <w:rFonts w:ascii="Arial" w:hAnsi="Arial" w:cs="Arial"/>
          <w:sz w:val="24"/>
          <w:szCs w:val="24"/>
        </w:rPr>
      </w:pPr>
      <w:r>
        <w:rPr>
          <w:rFonts w:cs="Arial" w:ascii="Arial" w:hAnsi="Arial"/>
          <w:sz w:val="24"/>
          <w:szCs w:val="24"/>
        </w:rPr>
        <w:t>they will be treated unfairly by their own employer for complaining</w:t>
      </w:r>
    </w:p>
    <w:p>
      <w:pPr>
        <w:pStyle w:val="ListParagraph"/>
        <w:numPr>
          <w:ilvl w:val="1"/>
          <w:numId w:val="2"/>
        </w:numPr>
        <w:jc w:val="both"/>
        <w:rPr>
          <w:rFonts w:ascii="Arial" w:hAnsi="Arial" w:cs="Arial"/>
          <w:sz w:val="24"/>
          <w:szCs w:val="24"/>
        </w:rPr>
      </w:pPr>
      <w:r>
        <w:rPr>
          <w:rFonts w:cs="Arial" w:ascii="Arial" w:hAnsi="Arial"/>
          <w:sz w:val="24"/>
          <w:szCs w:val="24"/>
        </w:rPr>
        <w:t>if they have already told their own employer and they have not responded</w:t>
      </w:r>
    </w:p>
    <w:p>
      <w:pPr>
        <w:pStyle w:val="ListParagraph"/>
        <w:ind w:left="1080" w:hanging="0"/>
        <w:jc w:val="both"/>
        <w:rPr>
          <w:rFonts w:ascii="Arial" w:hAnsi="Arial" w:cs="Arial"/>
          <w:sz w:val="24"/>
          <w:szCs w:val="24"/>
        </w:rPr>
      </w:pPr>
      <w:r>
        <w:rPr>
          <w:rFonts w:cs="Arial" w:ascii="Arial" w:hAnsi="Arial"/>
          <w:sz w:val="24"/>
          <w:szCs w:val="24"/>
        </w:rPr>
      </w:r>
    </w:p>
    <w:p>
      <w:pPr>
        <w:pStyle w:val="ListParagraph"/>
        <w:numPr>
          <w:ilvl w:val="0"/>
          <w:numId w:val="2"/>
        </w:numPr>
        <w:jc w:val="both"/>
        <w:rPr>
          <w:rFonts w:ascii="Arial" w:hAnsi="Arial" w:cs="Arial"/>
          <w:sz w:val="24"/>
          <w:szCs w:val="24"/>
        </w:rPr>
      </w:pPr>
      <w:r>
        <w:rPr>
          <w:rFonts w:cs="Arial" w:ascii="Arial" w:hAnsi="Arial"/>
          <w:sz w:val="24"/>
          <w:szCs w:val="24"/>
        </w:rPr>
        <w:t>Eye Opportuntiy Group will ensure that all staff are aware of the NSPCC whistleblowing helpline.</w:t>
      </w:r>
    </w:p>
    <w:p>
      <w:pPr>
        <w:pStyle w:val="ListParagraph"/>
        <w:ind w:left="108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Female genital mutilation (FGM)</w:t>
      </w:r>
    </w:p>
    <w:p>
      <w:pPr>
        <w:pStyle w:val="ListParagraph"/>
        <w:numPr>
          <w:ilvl w:val="0"/>
          <w:numId w:val="2"/>
        </w:numPr>
        <w:jc w:val="both"/>
        <w:rPr>
          <w:rFonts w:ascii="Arial" w:hAnsi="Arial"/>
          <w:sz w:val="24"/>
          <w:szCs w:val="24"/>
        </w:rPr>
      </w:pPr>
      <w:r>
        <w:rPr>
          <w:rFonts w:ascii="Arial" w:hAnsi="Arial"/>
          <w:sz w:val="24"/>
          <w:szCs w:val="24"/>
        </w:rPr>
        <w:t>Staff at Eye Opportunity Group should be alert to symptoms that would indicate that FGM has occurred, or may be about to occur, and take appropriate safeguarding action. Designated safeguarding leads should contact the police immediately as well as refer to children’s services local authority social work if they believe that FGM may be about to occur.</w:t>
      </w:r>
    </w:p>
    <w:p>
      <w:pPr>
        <w:pStyle w:val="ListParagraph"/>
        <w:numPr>
          <w:ilvl w:val="0"/>
          <w:numId w:val="2"/>
        </w:numPr>
        <w:jc w:val="both"/>
        <w:rPr>
          <w:rFonts w:ascii="Arial" w:hAnsi="Arial" w:cs="Arial"/>
          <w:sz w:val="24"/>
          <w:szCs w:val="24"/>
        </w:rPr>
      </w:pPr>
      <w:r>
        <w:rPr>
          <w:rFonts w:ascii="Arial" w:hAnsi="Arial"/>
          <w:sz w:val="24"/>
          <w:szCs w:val="24"/>
        </w:rPr>
        <w:t>It is illegal to undertake FGM or to assist anyone to enable them to practice FGM</w:t>
      </w:r>
      <w:r>
        <w:rPr>
          <w:rFonts w:cs="Arial" w:ascii="Arial" w:hAnsi="Arial"/>
          <w:sz w:val="24"/>
          <w:szCs w:val="24"/>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statistics indicate that in half of countries who practise FGM girls were cut before the age of 5. LSP guidance must be followed in relation to FGM, and the designated safeguarding lead is informed regarding specific risks relating to the culture and ethnicity of children who may be attending their setting and shares this knowledge with staff.</w:t>
      </w:r>
    </w:p>
    <w:p>
      <w:pPr>
        <w:pStyle w:val="ListParagraph"/>
        <w:numPr>
          <w:ilvl w:val="0"/>
          <w:numId w:val="2"/>
        </w:numPr>
        <w:jc w:val="both"/>
        <w:rPr>
          <w:rFonts w:ascii="Arial" w:hAnsi="Arial" w:cs="Arial"/>
          <w:sz w:val="24"/>
          <w:szCs w:val="24"/>
        </w:rPr>
      </w:pPr>
      <w:r>
        <w:rPr>
          <w:rFonts w:cs="Arial" w:ascii="Arial" w:hAnsi="Arial"/>
          <w:sz w:val="24"/>
          <w:szCs w:val="24"/>
        </w:rPr>
        <w:t>Symptoms of FGM in very young girls may include difficulty walking, sitting or standing; painful urination and/or urinary tract infection; urinary retention; evidence of surgery; changes to nappy changing or toileting routines; injury to adjacent tissues;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pPr>
        <w:pStyle w:val="ListParagraph"/>
        <w:numPr>
          <w:ilvl w:val="0"/>
          <w:numId w:val="2"/>
        </w:numPr>
        <w:jc w:val="both"/>
        <w:rPr>
          <w:rFonts w:ascii="Arial" w:hAnsi="Arial" w:cs="Arial"/>
          <w:sz w:val="24"/>
          <w:szCs w:val="24"/>
        </w:rPr>
      </w:pPr>
      <w:r>
        <w:rPr>
          <w:rFonts w:cs="Arial" w:ascii="Arial" w:hAnsi="Arial"/>
          <w:sz w:val="24"/>
          <w:szCs w:val="24"/>
        </w:rPr>
        <w:t>Further guidance:</w:t>
      </w:r>
    </w:p>
    <w:p>
      <w:pPr>
        <w:pStyle w:val="ListParagraph"/>
        <w:numPr>
          <w:ilvl w:val="1"/>
          <w:numId w:val="2"/>
        </w:numPr>
        <w:jc w:val="both"/>
        <w:rPr>
          <w:rFonts w:ascii="Arial" w:hAnsi="Arial"/>
          <w:sz w:val="24"/>
          <w:szCs w:val="24"/>
        </w:rPr>
      </w:pPr>
      <w:r>
        <w:rPr>
          <w:rFonts w:cs="Arial" w:ascii="Arial" w:hAnsi="Arial"/>
          <w:sz w:val="24"/>
          <w:szCs w:val="24"/>
        </w:rPr>
        <w:t xml:space="preserve">NSPCC 24-hour FGM helpline: 0800 028 3550 or email </w:t>
      </w:r>
      <w:hyperlink r:id="rId4">
        <w:r>
          <w:rPr>
            <w:rFonts w:ascii="Arial" w:hAnsi="Arial"/>
            <w:sz w:val="24"/>
            <w:szCs w:val="24"/>
          </w:rPr>
          <w:t>fgmhelp@nspcc.org.uk</w:t>
        </w:r>
      </w:hyperlink>
    </w:p>
    <w:p>
      <w:pPr>
        <w:pStyle w:val="ListParagraph"/>
        <w:numPr>
          <w:ilvl w:val="1"/>
          <w:numId w:val="2"/>
        </w:numPr>
        <w:jc w:val="both"/>
        <w:rPr>
          <w:rFonts w:ascii="Arial" w:hAnsi="Arial" w:cs="Arial"/>
          <w:sz w:val="24"/>
          <w:szCs w:val="24"/>
        </w:rPr>
      </w:pPr>
      <w:r>
        <w:rPr>
          <w:rFonts w:cs="Arial" w:ascii="Arial" w:hAnsi="Arial"/>
          <w:sz w:val="24"/>
          <w:szCs w:val="24"/>
        </w:rPr>
        <w:t xml:space="preserve">Government help and advice: </w:t>
      </w:r>
      <w:hyperlink r:id="rId5">
        <w:r>
          <w:rPr>
            <w:rFonts w:ascii="Arial" w:hAnsi="Arial"/>
            <w:sz w:val="24"/>
            <w:szCs w:val="24"/>
          </w:rPr>
          <w:t>www.gov.uk/female-genital-mutilation</w:t>
        </w:r>
      </w:hyperlink>
    </w:p>
    <w:p>
      <w:pPr>
        <w:pStyle w:val="ListParagraph"/>
        <w:ind w:left="108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 xml:space="preserve">Children and young people vulnerable to extremism or radicalisation </w:t>
      </w:r>
    </w:p>
    <w:p>
      <w:pPr>
        <w:pStyle w:val="ListParagraph"/>
        <w:numPr>
          <w:ilvl w:val="0"/>
          <w:numId w:val="2"/>
        </w:numPr>
        <w:jc w:val="both"/>
        <w:rPr>
          <w:rFonts w:ascii="Arial" w:hAnsi="Arial" w:cs="Arial"/>
          <w:sz w:val="24"/>
          <w:szCs w:val="24"/>
        </w:rPr>
      </w:pPr>
      <w:r>
        <w:rPr>
          <w:rFonts w:cs="Arial" w:ascii="Arial" w:hAnsi="Arial"/>
          <w:sz w:val="24"/>
          <w:szCs w:val="24"/>
        </w:rPr>
        <w:t xml:space="preserve">Early years settings, schools and local authorities have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pPr>
        <w:pStyle w:val="ListParagraph"/>
        <w:numPr>
          <w:ilvl w:val="0"/>
          <w:numId w:val="2"/>
        </w:numPr>
        <w:jc w:val="both"/>
        <w:rPr>
          <w:rFonts w:ascii="Arial" w:hAnsi="Arial" w:cs="Arial"/>
          <w:sz w:val="24"/>
          <w:szCs w:val="24"/>
        </w:rPr>
      </w:pPr>
      <w:r>
        <w:rPr>
          <w:rFonts w:cs="Arial" w:ascii="Arial" w:hAnsi="Arial"/>
          <w:sz w:val="24"/>
          <w:szCs w:val="24"/>
        </w:rPr>
        <w:t xml:space="preserve">There are potential safeguarding implications for children and young people who have close or extended family or friendship networks linked to involvement in extremism or terrorism. </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is required to familiarise themselves with LSP procedures, as well as online guidance including:</w:t>
      </w:r>
    </w:p>
    <w:p>
      <w:pPr>
        <w:pStyle w:val="ListParagraph"/>
        <w:numPr>
          <w:ilvl w:val="1"/>
          <w:numId w:val="2"/>
        </w:numPr>
        <w:jc w:val="both"/>
        <w:rPr>
          <w:rFonts w:ascii="Arial" w:hAnsi="Arial" w:cs="Arial"/>
          <w:sz w:val="24"/>
          <w:szCs w:val="24"/>
        </w:rPr>
      </w:pPr>
      <w:r>
        <w:rPr>
          <w:rFonts w:cs="Arial" w:ascii="Arial" w:hAnsi="Arial"/>
          <w:sz w:val="24"/>
          <w:szCs w:val="24"/>
        </w:rPr>
        <w:t xml:space="preserve">Channel Duty guidance: Protecting people vulnerable to being drawn into terrorism </w:t>
      </w:r>
      <w:hyperlink r:id="rId6">
        <w:r>
          <w:rPr>
            <w:rFonts w:ascii="Arial" w:hAnsi="Arial"/>
            <w:sz w:val="24"/>
            <w:szCs w:val="24"/>
          </w:rPr>
          <w:t>www.gov.uk/government/publications/channel-and-prevent-multi-agency-panel-pmap-guidance</w:t>
        </w:r>
      </w:hyperlink>
    </w:p>
    <w:p>
      <w:pPr>
        <w:pStyle w:val="ListParagraph"/>
        <w:numPr>
          <w:ilvl w:val="1"/>
          <w:numId w:val="2"/>
        </w:numPr>
        <w:jc w:val="both"/>
        <w:rPr>
          <w:rFonts w:ascii="Arial" w:hAnsi="Arial" w:cs="Arial"/>
          <w:sz w:val="24"/>
          <w:szCs w:val="24"/>
        </w:rPr>
      </w:pPr>
      <w:r>
        <w:rPr>
          <w:rFonts w:cs="Arial" w:ascii="Arial" w:hAnsi="Arial"/>
          <w:sz w:val="24"/>
          <w:szCs w:val="24"/>
        </w:rPr>
        <w:t xml:space="preserve">Prevent Strategy (HMG 2011) </w:t>
      </w:r>
      <w:hyperlink r:id="rId7">
        <w:r>
          <w:rPr>
            <w:rFonts w:ascii="Arial" w:hAnsi="Arial"/>
            <w:sz w:val="24"/>
            <w:szCs w:val="24"/>
          </w:rPr>
          <w:t>www.gov.uk/government/publications/prevent-strategy-2011</w:t>
        </w:r>
      </w:hyperlink>
    </w:p>
    <w:p>
      <w:pPr>
        <w:pStyle w:val="ListParagraph"/>
        <w:numPr>
          <w:ilvl w:val="0"/>
          <w:numId w:val="2"/>
        </w:numPr>
        <w:rPr>
          <w:rFonts w:ascii="Arial" w:hAnsi="Arial" w:cs="Arial"/>
          <w:sz w:val="24"/>
          <w:szCs w:val="24"/>
        </w:rPr>
      </w:pPr>
      <w:r>
        <w:rPr>
          <w:rFonts w:cs="Arial" w:ascii="Arial" w:hAnsi="Arial"/>
          <w:sz w:val="24"/>
          <w:szCs w:val="24"/>
        </w:rPr>
        <w:t xml:space="preserve">The prevent duty: for schools and childcare providers </w:t>
      </w:r>
      <w:hyperlink r:id="rId8">
        <w:r>
          <w:rPr>
            <w:rStyle w:val="InternetLink"/>
            <w:rFonts w:cs="Arial" w:ascii="Arial" w:hAnsi="Arial"/>
            <w:sz w:val="24"/>
            <w:szCs w:val="24"/>
          </w:rPr>
          <w:t>www.gov.uk/government/publications/protecting-children-from-radicalisation-the-prevent-duty</w:t>
        </w:r>
      </w:hyperlink>
    </w:p>
    <w:p>
      <w:pPr>
        <w:pStyle w:val="ListParagraph"/>
        <w:numPr>
          <w:ilvl w:val="0"/>
          <w:numId w:val="2"/>
        </w:numPr>
        <w:jc w:val="both"/>
        <w:rPr>
          <w:rFonts w:ascii="Arial" w:hAnsi="Arial" w:cs="Arial"/>
          <w:sz w:val="24"/>
          <w:szCs w:val="24"/>
        </w:rPr>
      </w:pPr>
      <w:r>
        <w:rPr>
          <w:rFonts w:cs="Arial" w:ascii="Arial" w:hAnsi="Arial"/>
          <w:sz w:val="24"/>
          <w:szCs w:val="24"/>
        </w:rPr>
        <w:t xml:space="preserve">The designated safeguarding lead should follow LSP guidance in relation to how to respond to concerns regarding extremism and ensure that staff </w:t>
      </w:r>
      <w:r>
        <w:rPr>
          <w:rFonts w:ascii="Arial" w:hAnsi="Arial"/>
          <w:sz w:val="24"/>
          <w:szCs w:val="24"/>
        </w:rPr>
        <w:t xml:space="preserve">at Eye Opportunity Group </w:t>
      </w:r>
      <w:r>
        <w:rPr>
          <w:rFonts w:cs="Arial" w:ascii="Arial" w:hAnsi="Arial"/>
          <w:sz w:val="24"/>
          <w:szCs w:val="24"/>
        </w:rPr>
        <w:t>know how to identify and raise any concerns in relation to this with them.</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must know how to refer concerns about risks of extremism/radicalisation to their LSP safeguarding team or the Channel panel, as appropriate.</w:t>
      </w:r>
    </w:p>
    <w:p>
      <w:pPr>
        <w:pStyle w:val="ListParagraph"/>
        <w:numPr>
          <w:ilvl w:val="0"/>
          <w:numId w:val="2"/>
        </w:numPr>
        <w:jc w:val="both"/>
        <w:rPr>
          <w:rFonts w:ascii="Arial" w:hAnsi="Arial" w:cs="Arial"/>
          <w:sz w:val="24"/>
          <w:szCs w:val="24"/>
        </w:rPr>
      </w:pPr>
      <w:r>
        <w:rPr>
          <w:rFonts w:cs="Arial" w:ascii="Arial" w:hAnsi="Arial"/>
          <w:sz w:val="24"/>
          <w:szCs w:val="24"/>
        </w:rPr>
        <w:t xml:space="preserve">The designated safeguarding lead should also ensure that they and all other staff </w:t>
      </w:r>
      <w:r>
        <w:rPr>
          <w:rFonts w:ascii="Arial" w:hAnsi="Arial"/>
          <w:sz w:val="24"/>
          <w:szCs w:val="24"/>
        </w:rPr>
        <w:t xml:space="preserve">at Eye Opportunity Group </w:t>
      </w:r>
      <w:r>
        <w:rPr>
          <w:rFonts w:cs="Arial" w:ascii="Arial" w:hAnsi="Arial"/>
          <w:sz w:val="24"/>
          <w:szCs w:val="24"/>
        </w:rPr>
        <w:t>working with children and young people understand how to recognise that someone may be at risk of violent extremism.</w:t>
      </w:r>
    </w:p>
    <w:p>
      <w:pPr>
        <w:pStyle w:val="ListParagraph"/>
        <w:numPr>
          <w:ilvl w:val="0"/>
          <w:numId w:val="2"/>
        </w:numPr>
        <w:jc w:val="both"/>
        <w:rPr>
          <w:rFonts w:ascii="Arial" w:hAnsi="Arial" w:cs="Arial"/>
          <w:sz w:val="24"/>
          <w:szCs w:val="24"/>
        </w:rPr>
      </w:pPr>
      <w:r>
        <w:rPr>
          <w:rFonts w:cs="Arial" w:ascii="Arial" w:hAnsi="Arial"/>
          <w:sz w:val="24"/>
          <w:szCs w:val="24"/>
        </w:rPr>
        <w:t xml:space="preserve">The designated safeguarding lead also ensures that all staff at Eye Opportunity Group are aware of their responsibilities with regard to equality and inclusion and children’s rights.   </w:t>
      </w:r>
    </w:p>
    <w:p>
      <w:pPr>
        <w:pStyle w:val="ListParagraph"/>
        <w:numPr>
          <w:ilvl w:val="0"/>
          <w:numId w:val="2"/>
        </w:numPr>
        <w:jc w:val="both"/>
        <w:rPr>
          <w:rFonts w:ascii="Arial" w:hAnsi="Arial" w:cs="Arial"/>
          <w:sz w:val="24"/>
          <w:szCs w:val="24"/>
        </w:rPr>
      </w:pPr>
      <w:r>
        <w:rPr>
          <w:rFonts w:cs="Arial" w:ascii="Arial" w:hAnsi="Arial"/>
          <w:sz w:val="24"/>
          <w:szCs w:val="24"/>
        </w:rPr>
        <w:t xml:space="preserve">If available in the area, the designated safeguarding lead should complete WRAP (or equivalent) training and support staff to access the training as offered by local authorities. WRAP training covers local arrangements for dealing with concerns that a child may be at risk of extremism and/or radicalisation. </w:t>
      </w:r>
    </w:p>
    <w:p>
      <w:pPr>
        <w:pStyle w:val="ListParagraph"/>
        <w:numPr>
          <w:ilvl w:val="0"/>
          <w:numId w:val="2"/>
        </w:numPr>
        <w:jc w:val="both"/>
        <w:rPr>
          <w:rFonts w:ascii="Arial" w:hAnsi="Arial" w:cs="Arial"/>
          <w:sz w:val="24"/>
          <w:szCs w:val="24"/>
        </w:rPr>
      </w:pPr>
      <w:r>
        <w:rPr>
          <w:rFonts w:cs="Arial" w:ascii="Arial" w:hAnsi="Arial"/>
          <w:sz w:val="24"/>
          <w:szCs w:val="24"/>
        </w:rPr>
        <w:t>The designated safeguarding lead should understand the perceived terrorism risks in relation to the area that they deliver services in.</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Parental consent for radicalisation referrals</w:t>
      </w:r>
    </w:p>
    <w:p>
      <w:pPr>
        <w:pStyle w:val="ListParagraph"/>
        <w:numPr>
          <w:ilvl w:val="0"/>
          <w:numId w:val="2"/>
        </w:numPr>
        <w:jc w:val="both"/>
        <w:rPr>
          <w:rFonts w:ascii="Arial" w:hAnsi="Arial" w:cs="Arial"/>
          <w:sz w:val="24"/>
          <w:szCs w:val="24"/>
        </w:rPr>
      </w:pPr>
      <w:r>
        <w:rPr>
          <w:rFonts w:cs="Arial" w:ascii="Arial" w:hAnsi="Arial"/>
          <w:sz w:val="24"/>
          <w:szCs w:val="24"/>
        </w:rPr>
        <w:t>LSP procedures are followed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 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or not consent should be sought on a case-by-case basis. Designated safeguarding leads should be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pPr>
        <w:pStyle w:val="ListParagraph"/>
        <w:numPr>
          <w:ilvl w:val="0"/>
          <w:numId w:val="2"/>
        </w:numPr>
        <w:jc w:val="both"/>
        <w:rPr>
          <w:rFonts w:ascii="Arial" w:hAnsi="Arial" w:cs="Arial"/>
          <w:sz w:val="24"/>
          <w:szCs w:val="24"/>
        </w:rPr>
      </w:pPr>
      <w:r>
        <w:rPr>
          <w:rFonts w:cs="Arial" w:ascii="Arial" w:hAnsi="Arial"/>
          <w:sz w:val="24"/>
          <w:szCs w:val="24"/>
        </w:rPr>
        <w:t>Consent is required prior to any individual engaging with a Channel intervention. Consent is usually sought by Channel partners, but LSP procedures should be followed regarding this.</w:t>
      </w:r>
    </w:p>
    <w:p>
      <w:pPr>
        <w:pStyle w:val="ListParagraph"/>
        <w:numPr>
          <w:ilvl w:val="0"/>
          <w:numId w:val="2"/>
        </w:numPr>
        <w:jc w:val="both"/>
        <w:rPr>
          <w:rFonts w:ascii="Arial" w:hAnsi="Arial" w:cs="Arial"/>
          <w:sz w:val="24"/>
          <w:szCs w:val="24"/>
        </w:rPr>
      </w:pPr>
      <w:r>
        <w:rPr>
          <w:rFonts w:cs="Arial" w:ascii="Arial" w:hAnsi="Arial"/>
          <w:sz w:val="24"/>
          <w:szCs w:val="24"/>
        </w:rPr>
        <w:t>If there is a concern that a person is already involved in terrorist activity this must be reported to the Anti-Terrorist Hot Line 0800 789 321-Text/phone 0800 0324 539. Police can be contacted on 101.</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Concerns about children affected by gang activity/serious youth violence</w:t>
      </w:r>
    </w:p>
    <w:p>
      <w:pPr>
        <w:pStyle w:val="ListParagraph"/>
        <w:numPr>
          <w:ilvl w:val="0"/>
          <w:numId w:val="2"/>
        </w:numPr>
        <w:jc w:val="both"/>
        <w:rPr>
          <w:rFonts w:ascii="Arial" w:hAnsi="Arial" w:cs="Arial"/>
          <w:sz w:val="24"/>
          <w:szCs w:val="24"/>
        </w:rPr>
      </w:pPr>
      <w:r>
        <w:rPr>
          <w:rFonts w:cs="Arial" w:ascii="Arial" w:hAnsi="Arial"/>
          <w:sz w:val="24"/>
          <w:szCs w:val="24"/>
        </w:rPr>
        <w:t>Staff at Eye Opportunity Group are aware that children can be put at risk by gang activity, both through participation in and as victims of gang violence. Whilst very young children will be very unlikely to become involved in gang activity they may potentially be put at risk by the involvement of others in their household in gangs, such as an adult sibling or a parent/carer. The designated safeguarding lead is familiar with the LSP guidance and procedures in relation to safeguarding children affected by gang activity and ensure this is followed where relevant.</w:t>
      </w:r>
    </w:p>
    <w:p>
      <w:pPr>
        <w:pStyle w:val="ListParagraph"/>
        <w:ind w:left="360" w:hanging="0"/>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Forced marriage/honour-based violence</w:t>
      </w:r>
    </w:p>
    <w:p>
      <w:pPr>
        <w:pStyle w:val="ListParagraph"/>
        <w:numPr>
          <w:ilvl w:val="0"/>
          <w:numId w:val="2"/>
        </w:numPr>
        <w:jc w:val="both"/>
        <w:rPr>
          <w:rFonts w:ascii="Arial" w:hAnsi="Arial" w:cs="Arial"/>
          <w:sz w:val="24"/>
          <w:szCs w:val="24"/>
        </w:rPr>
      </w:pPr>
      <w:r>
        <w:rPr>
          <w:rFonts w:cs="Arial" w:ascii="Arial" w:hAnsi="Arial"/>
          <w:sz w:val="24"/>
          <w:szCs w:val="24"/>
        </w:rPr>
        <w:t xml:space="preserve">Educators at Eye Opportunity Group are aware that forced marriage is a marriage in which one or both spouses do not consent to the marriage but are forced into it and will act accordingly as detailed below.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pPr>
        <w:pStyle w:val="ListParagraph"/>
        <w:numPr>
          <w:ilvl w:val="0"/>
          <w:numId w:val="2"/>
        </w:numPr>
        <w:jc w:val="both"/>
        <w:rPr>
          <w:rFonts w:ascii="Arial" w:hAnsi="Arial" w:cs="Arial"/>
          <w:sz w:val="24"/>
          <w:szCs w:val="24"/>
        </w:rPr>
      </w:pPr>
      <w:r>
        <w:rPr>
          <w:rFonts w:cs="Arial" w:ascii="Arial" w:hAnsi="Arial"/>
          <w:sz w:val="24"/>
          <w:szCs w:val="24"/>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pPr>
        <w:pStyle w:val="ListParagraph"/>
        <w:numPr>
          <w:ilvl w:val="0"/>
          <w:numId w:val="2"/>
        </w:numPr>
        <w:jc w:val="both"/>
        <w:rPr>
          <w:rFonts w:ascii="Arial" w:hAnsi="Arial" w:cs="Arial"/>
          <w:sz w:val="24"/>
          <w:szCs w:val="24"/>
        </w:rPr>
      </w:pPr>
      <w:r>
        <w:rPr>
          <w:rFonts w:cs="Arial" w:ascii="Arial" w:hAnsi="Arial"/>
          <w:sz w:val="24"/>
          <w:szCs w:val="24"/>
        </w:rPr>
        <w:t>Risks in relation to forced marriage are high and it is important that staff ensure that anyone at risk of forced marriage is not put in further danger. 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pPr>
        <w:pStyle w:val="ListParagraph"/>
        <w:numPr>
          <w:ilvl w:val="0"/>
          <w:numId w:val="2"/>
        </w:numPr>
        <w:jc w:val="both"/>
        <w:rPr>
          <w:rFonts w:ascii="Arial" w:hAnsi="Arial" w:cs="Arial"/>
          <w:sz w:val="24"/>
          <w:szCs w:val="24"/>
        </w:rPr>
      </w:pPr>
      <w:r>
        <w:rPr>
          <w:rFonts w:cs="Arial" w:ascii="Arial" w:hAnsi="Arial"/>
          <w:sz w:val="24"/>
          <w:szCs w:val="24"/>
        </w:rPr>
        <w:t xml:space="preserve">In an emergency police should be contacted on 999. </w:t>
      </w:r>
    </w:p>
    <w:p>
      <w:pPr>
        <w:pStyle w:val="ListParagraph"/>
        <w:numPr>
          <w:ilvl w:val="0"/>
          <w:numId w:val="2"/>
        </w:numPr>
        <w:jc w:val="both"/>
        <w:rPr>
          <w:rFonts w:ascii="Arial" w:hAnsi="Arial" w:cs="Arial"/>
          <w:sz w:val="24"/>
          <w:szCs w:val="24"/>
        </w:rPr>
      </w:pPr>
      <w:r>
        <w:rPr>
          <w:rFonts w:cs="Arial" w:ascii="Arial" w:hAnsi="Arial"/>
          <w:sz w:val="24"/>
          <w:szCs w:val="24"/>
        </w:rPr>
        <w:t>Forced Marriage Unit can be contacted either by professionals or by potential victims seeking advice in relation to their concerns. The contact details are below.</w:t>
      </w:r>
    </w:p>
    <w:p>
      <w:pPr>
        <w:pStyle w:val="ListParagraph"/>
        <w:numPr>
          <w:ilvl w:val="0"/>
          <w:numId w:val="2"/>
        </w:numPr>
        <w:ind w:left="720" w:hanging="360"/>
        <w:jc w:val="both"/>
        <w:rPr>
          <w:rFonts w:ascii="Arial" w:hAnsi="Arial" w:cs="Arial"/>
          <w:sz w:val="24"/>
          <w:szCs w:val="24"/>
        </w:rPr>
      </w:pPr>
      <w:r>
        <w:rPr>
          <w:rFonts w:cs="Arial" w:ascii="Arial" w:hAnsi="Arial"/>
          <w:sz w:val="24"/>
          <w:szCs w:val="24"/>
        </w:rPr>
        <w:t>Telephone: +44 (0) 20 7008 0151</w:t>
      </w:r>
    </w:p>
    <w:p>
      <w:pPr>
        <w:pStyle w:val="ListParagraph"/>
        <w:numPr>
          <w:ilvl w:val="0"/>
          <w:numId w:val="2"/>
        </w:numPr>
        <w:ind w:left="720" w:hanging="360"/>
        <w:jc w:val="both"/>
        <w:rPr>
          <w:rFonts w:ascii="Arial" w:hAnsi="Arial" w:cs="Arial"/>
          <w:sz w:val="24"/>
          <w:szCs w:val="24"/>
        </w:rPr>
      </w:pPr>
      <w:r>
        <w:rPr>
          <w:rFonts w:cs="Arial" w:ascii="Arial" w:hAnsi="Arial"/>
          <w:sz w:val="24"/>
          <w:szCs w:val="24"/>
        </w:rPr>
        <w:t xml:space="preserve">Email: </w:t>
      </w:r>
      <w:hyperlink r:id="rId9">
        <w:r>
          <w:rPr>
            <w:rFonts w:cs="Arial" w:ascii="Arial" w:hAnsi="Arial"/>
            <w:sz w:val="24"/>
            <w:szCs w:val="24"/>
          </w:rPr>
          <w:t>fmu@fco.gov.uk</w:t>
        </w:r>
      </w:hyperlink>
    </w:p>
    <w:p>
      <w:pPr>
        <w:pStyle w:val="ListParagraph"/>
        <w:numPr>
          <w:ilvl w:val="0"/>
          <w:numId w:val="2"/>
        </w:numPr>
        <w:ind w:left="720" w:hanging="360"/>
        <w:jc w:val="both"/>
        <w:rPr>
          <w:rFonts w:ascii="Arial" w:hAnsi="Arial" w:cs="Arial"/>
          <w:sz w:val="24"/>
          <w:szCs w:val="24"/>
        </w:rPr>
      </w:pPr>
      <w:r>
        <w:rPr>
          <w:rFonts w:cs="Arial" w:ascii="Arial" w:hAnsi="Arial"/>
          <w:sz w:val="24"/>
          <w:szCs w:val="24"/>
        </w:rPr>
        <w:t xml:space="preserve">Email for outreach work: </w:t>
      </w:r>
      <w:hyperlink r:id="rId10">
        <w:r>
          <w:rPr>
            <w:rFonts w:cs="Arial" w:ascii="Arial" w:hAnsi="Arial"/>
            <w:sz w:val="24"/>
            <w:szCs w:val="24"/>
          </w:rPr>
          <w:t>fmuoutreach@fco.gov.uk</w:t>
        </w:r>
      </w:hyperlink>
    </w:p>
    <w:p>
      <w:pPr>
        <w:pStyle w:val="ListParagraph"/>
        <w:jc w:val="both"/>
        <w:rPr>
          <w:rFonts w:ascii="Arial" w:hAnsi="Arial" w:cs="Arial"/>
          <w:sz w:val="24"/>
          <w:szCs w:val="24"/>
        </w:rPr>
      </w:pPr>
      <w:r>
        <w:rPr>
          <w:rFonts w:cs="Arial" w:ascii="Arial" w:hAnsi="Arial"/>
          <w:sz w:val="24"/>
          <w:szCs w:val="24"/>
        </w:rPr>
      </w:r>
    </w:p>
    <w:p>
      <w:pPr>
        <w:pStyle w:val="ListParagraph"/>
        <w:numPr>
          <w:ilvl w:val="0"/>
          <w:numId w:val="4"/>
        </w:numPr>
        <w:jc w:val="both"/>
        <w:rPr>
          <w:rFonts w:ascii="Arial" w:hAnsi="Arial" w:cs="Arial"/>
          <w:b/>
          <w:b/>
          <w:bCs/>
          <w:sz w:val="24"/>
          <w:szCs w:val="24"/>
        </w:rPr>
      </w:pPr>
      <w:r>
        <w:rPr>
          <w:rFonts w:cs="Arial" w:ascii="Arial" w:hAnsi="Arial"/>
          <w:b/>
          <w:bCs/>
          <w:sz w:val="24"/>
          <w:szCs w:val="24"/>
        </w:rPr>
        <w:t>Further guidance</w:t>
      </w:r>
    </w:p>
    <w:p>
      <w:pPr>
        <w:pStyle w:val="Normal"/>
        <w:tabs>
          <w:tab w:val="left" w:pos="220" w:leader="none"/>
          <w:tab w:val="left" w:pos="720" w:leader="none"/>
        </w:tabs>
        <w:spacing w:lineRule="auto" w:line="360" w:before="120" w:after="120"/>
        <w:rPr>
          <w:rFonts w:ascii="Arial" w:hAnsi="Arial" w:cs="Arial"/>
          <w:sz w:val="24"/>
          <w:szCs w:val="24"/>
        </w:rPr>
      </w:pPr>
      <w:r>
        <w:fldChar w:fldCharType="begin"/>
      </w:r>
      <w:r>
        <w:rPr>
          <w:rStyle w:val="InternetLink"/>
          <w:sz w:val="24"/>
          <w:szCs w:val="24"/>
          <w:rFonts w:cs="Arial" w:ascii="Arial" w:hAnsi="Arial"/>
        </w:rPr>
        <w:instrText> HYPERLINK "https://portal.eyalliance.org.uk/Shop" \l "!prod/f48ed1d4-7564-ea11-a811-000d3a0bad7c/curr/GBP"</w:instrText>
      </w:r>
      <w:r>
        <w:rPr>
          <w:rStyle w:val="InternetLink"/>
          <w:sz w:val="24"/>
          <w:szCs w:val="24"/>
          <w:rFonts w:cs="Arial" w:ascii="Arial" w:hAnsi="Arial"/>
        </w:rPr>
        <w:fldChar w:fldCharType="separate"/>
      </w:r>
      <w:r>
        <w:rPr>
          <w:rStyle w:val="InternetLink"/>
          <w:rFonts w:cs="Arial" w:ascii="Arial" w:hAnsi="Arial"/>
          <w:sz w:val="24"/>
          <w:szCs w:val="24"/>
        </w:rPr>
        <w:t>Accident Record</w:t>
      </w:r>
      <w:r>
        <w:rPr>
          <w:rStyle w:val="InternetLink"/>
          <w:sz w:val="24"/>
          <w:szCs w:val="24"/>
          <w:rFonts w:cs="Arial" w:ascii="Arial" w:hAnsi="Arial"/>
        </w:rPr>
        <w:fldChar w:fldCharType="end"/>
      </w:r>
      <w:r>
        <w:rPr>
          <w:rFonts w:cs="Arial" w:ascii="Arial" w:hAnsi="Arial"/>
          <w:sz w:val="24"/>
          <w:szCs w:val="24"/>
        </w:rPr>
        <w:t xml:space="preserve"> (Alliance Publication)</w:t>
      </w:r>
    </w:p>
    <w:p>
      <w:pPr>
        <w:pStyle w:val="Normal"/>
        <w:tabs>
          <w:tab w:val="left" w:pos="220" w:leader="none"/>
          <w:tab w:val="left" w:pos="720" w:leader="none"/>
        </w:tabs>
        <w:spacing w:lineRule="auto" w:line="360" w:before="120" w:after="120"/>
        <w:rPr>
          <w:rStyle w:val="InternetLink"/>
          <w:rFonts w:ascii="Arial" w:hAnsi="Arial" w:cs="Arial"/>
          <w:sz w:val="24"/>
          <w:szCs w:val="24"/>
        </w:rPr>
      </w:pPr>
      <w:r>
        <w:rPr>
          <w:rFonts w:cs="Arial" w:ascii="Arial" w:hAnsi="Arial"/>
          <w:sz w:val="24"/>
          <w:szCs w:val="24"/>
        </w:rPr>
        <w:t xml:space="preserve">Multi-agency practice guidelines: Handling cases of Forced Marriage  (HMG 2014) </w:t>
      </w:r>
      <w:hyperlink r:id="rId11">
        <w:r>
          <w:rPr>
            <w:rStyle w:val="InternetLink"/>
            <w:rFonts w:cs="Arial" w:ascii="Arial" w:hAnsi="Arial"/>
            <w:sz w:val="24"/>
            <w:szCs w:val="24"/>
          </w:rPr>
          <w:t>https://assets.publishing.service.gov.uk/government/uploads/system/uploads/attachment_data/file/322307/HMG_MULTI_AGENCY_PRACTICE_GUIDELINES_v1_180614_FINAL.pdf</w:t>
        </w:r>
      </w:hyperlink>
    </w:p>
    <w:p>
      <w:pPr>
        <w:pStyle w:val="Normal"/>
        <w:tabs>
          <w:tab w:val="left" w:pos="220" w:leader="none"/>
          <w:tab w:val="left" w:pos="720" w:leader="none"/>
        </w:tabs>
        <w:spacing w:lineRule="auto" w:line="360" w:before="120" w:after="120"/>
        <w:rPr>
          <w:rStyle w:val="InternetLink"/>
          <w:rFonts w:ascii="Arial" w:hAnsi="Arial" w:cs="Arial"/>
          <w:sz w:val="24"/>
          <w:szCs w:val="24"/>
        </w:rPr>
      </w:pPr>
      <w:r>
        <w:rPr>
          <w:rStyle w:val="InternetLink"/>
          <w:rFonts w:cs="Arial" w:ascii="Arial" w:hAnsi="Arial"/>
          <w:sz w:val="24"/>
          <w:szCs w:val="24"/>
        </w:rPr>
        <w:t>Creating a culture of safeguarding (Alliance Publication)</w:t>
      </w:r>
    </w:p>
    <w:p>
      <w:pPr>
        <w:pStyle w:val="Normal"/>
        <w:widowControl/>
        <w:overflowPunct w:val="false"/>
        <w:rPr>
          <w:rStyle w:val="InternetLink"/>
          <w:rFonts w:ascii="Arial" w:hAnsi="Arial" w:cs="Arial"/>
          <w:sz w:val="24"/>
          <w:szCs w:val="24"/>
        </w:rPr>
      </w:pPr>
      <w:r>
        <w:rPr>
          <w:rFonts w:cs="Arial" w:ascii="Arial" w:hAnsi="Arial"/>
          <w:sz w:val="24"/>
          <w:szCs w:val="24"/>
        </w:rPr>
      </w:r>
      <w:r>
        <w:br w:type="page"/>
      </w:r>
    </w:p>
    <w:p>
      <w:pPr>
        <w:pStyle w:val="Normal"/>
        <w:jc w:val="both"/>
        <w:rPr>
          <w:rFonts w:ascii="Arial" w:hAnsi="Arial" w:cs="Arial"/>
          <w:b/>
          <w:b/>
          <w:bCs/>
          <w:sz w:val="28"/>
          <w:szCs w:val="28"/>
        </w:rPr>
      </w:pPr>
      <w:r>
        <w:rPr>
          <w:rFonts w:cs="Arial" w:ascii="Arial" w:hAnsi="Arial"/>
          <w:b/>
          <w:bCs/>
          <w:sz w:val="28"/>
          <w:szCs w:val="28"/>
        </w:rPr>
        <w:t>Appendix A Local Safeguarding Procedures</w:t>
      </w:r>
    </w:p>
    <w:p>
      <w:pPr>
        <w:pStyle w:val="Normal"/>
        <w:keepLines/>
        <w:rPr>
          <w:b/>
          <w:b/>
          <w:color w:val="174EA1"/>
          <w:spacing w:val="-20"/>
          <w:sz w:val="44"/>
          <w:szCs w:val="44"/>
        </w:rPr>
      </w:pPr>
      <w:r>
        <w:drawing>
          <wp:anchor behindDoc="0" distT="0" distB="0" distL="114300" distR="114300" simplePos="0" locked="0" layoutInCell="0" allowOverlap="1" relativeHeight="8">
            <wp:simplePos x="0" y="0"/>
            <wp:positionH relativeFrom="column">
              <wp:posOffset>-100965</wp:posOffset>
            </wp:positionH>
            <wp:positionV relativeFrom="paragraph">
              <wp:posOffset>635</wp:posOffset>
            </wp:positionV>
            <wp:extent cx="704215" cy="768985"/>
            <wp:effectExtent l="0" t="0" r="0" b="0"/>
            <wp:wrapSquare wrapText="bothSides"/>
            <wp:docPr id="2" name="Picture 344488728" descr="EYE%20OPP%20TRAIN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44488728" descr="EYE%20OPP%20TRAINBLUE"/>
                    <pic:cNvPicPr>
                      <a:picLocks noChangeAspect="1" noChangeArrowheads="1"/>
                    </pic:cNvPicPr>
                  </pic:nvPicPr>
                  <pic:blipFill>
                    <a:blip r:embed="rId12"/>
                    <a:stretch>
                      <a:fillRect/>
                    </a:stretch>
                  </pic:blipFill>
                  <pic:spPr bwMode="auto">
                    <a:xfrm>
                      <a:off x="0" y="0"/>
                      <a:ext cx="704215" cy="768985"/>
                    </a:xfrm>
                    <a:prstGeom prst="rect">
                      <a:avLst/>
                    </a:prstGeom>
                  </pic:spPr>
                </pic:pic>
              </a:graphicData>
            </a:graphic>
          </wp:anchor>
        </w:drawing>
      </w:r>
      <w:r>
        <w:rPr>
          <w:b/>
          <w:color w:val="174EA1"/>
          <w:spacing w:val="-20"/>
          <w:sz w:val="44"/>
          <w:szCs w:val="44"/>
        </w:rPr>
        <w:t>S</w:t>
      </w:r>
      <w:r>
        <w:rPr>
          <w:b/>
          <w:color w:val="174EA1"/>
          <w:spacing w:val="-20"/>
          <w:sz w:val="44"/>
          <w:szCs w:val="44"/>
        </w:rPr>
        <w:t>afeguarding is everyone’s responsibility.</w:t>
      </w:r>
    </w:p>
    <w:p>
      <w:pPr>
        <w:pStyle w:val="Normal"/>
        <w:keepLines/>
        <w:jc w:val="both"/>
        <w:rPr>
          <w:b/>
          <w:b/>
          <w:spacing w:val="-20"/>
        </w:rPr>
      </w:pPr>
      <w:r>
        <w:rPr>
          <w:b/>
          <w:spacing w:val="-20"/>
        </w:rPr>
        <w:t>If you are concerned about a child or adult or have any safeguarding issues or questions, you should talk to:</w:t>
      </w:r>
    </w:p>
    <w:tbl>
      <w:tblPr>
        <w:tblStyle w:val="TableGrid"/>
        <w:tblW w:w="1062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379"/>
        <w:gridCol w:w="9247"/>
      </w:tblGrid>
      <w:tr>
        <w:trPr>
          <w:trHeight w:val="1000" w:hRule="atLeast"/>
        </w:trPr>
        <w:tc>
          <w:tcPr>
            <w:tcW w:w="1379" w:type="dxa"/>
            <w:tcBorders/>
          </w:tcPr>
          <w:p>
            <w:pPr>
              <w:pStyle w:val="Normal"/>
              <w:keepLines/>
              <w:widowControl w:val="false"/>
              <w:spacing w:before="0" w:after="0"/>
              <w:jc w:val="both"/>
              <w:rPr>
                <w:bCs/>
                <w:spacing w:val="-20"/>
                <w:sz w:val="36"/>
                <w:szCs w:val="36"/>
              </w:rPr>
            </w:pPr>
            <w:r>
              <w:rPr>
                <w:rFonts w:eastAsia="Times New Roman"/>
                <w:lang w:val="en-GB" w:eastAsia="en-GB" w:bidi="ar-SA"/>
              </w:rPr>
              <w:drawing>
                <wp:inline distT="0" distB="0" distL="0" distR="0">
                  <wp:extent cx="716280" cy="716280"/>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3"/>
                          <a:stretch>
                            <a:fillRect/>
                          </a:stretch>
                        </pic:blipFill>
                        <pic:spPr bwMode="auto">
                          <a:xfrm>
                            <a:off x="0" y="0"/>
                            <a:ext cx="716280" cy="716280"/>
                          </a:xfrm>
                          <a:prstGeom prst="rect">
                            <a:avLst/>
                          </a:prstGeom>
                        </pic:spPr>
                      </pic:pic>
                    </a:graphicData>
                  </a:graphic>
                </wp:inline>
              </w:drawing>
            </w:r>
          </w:p>
        </w:tc>
        <w:tc>
          <w:tcPr>
            <w:tcW w:w="9247" w:type="dxa"/>
            <w:tcBorders/>
            <w:vAlign w:val="center"/>
          </w:tcPr>
          <w:p>
            <w:pPr>
              <w:pStyle w:val="Normal"/>
              <w:keepLines/>
              <w:widowControl w:val="false"/>
              <w:spacing w:before="0" w:after="0"/>
              <w:jc w:val="both"/>
              <w:rPr>
                <w:b/>
                <w:b/>
                <w:spacing w:val="-20"/>
              </w:rPr>
            </w:pPr>
            <w:r>
              <w:rPr>
                <w:rFonts w:eastAsia="Times New Roman"/>
                <w:b/>
                <w:spacing w:val="-20"/>
                <w:lang w:val="en-GB" w:eastAsia="en-GB" w:bidi="ar-SA"/>
              </w:rPr>
              <w:t>Designated Safeguarding Lead (DSL)</w:t>
            </w:r>
          </w:p>
          <w:p>
            <w:pPr>
              <w:pStyle w:val="Normal"/>
              <w:keepLines/>
              <w:widowControl w:val="false"/>
              <w:spacing w:before="0" w:after="0"/>
              <w:jc w:val="both"/>
              <w:rPr>
                <w:b/>
                <w:b/>
                <w:spacing w:val="-20"/>
              </w:rPr>
            </w:pPr>
            <w:r>
              <w:rPr>
                <w:rFonts w:eastAsia="Times New Roman"/>
                <w:b/>
                <w:spacing w:val="-20"/>
                <w:lang w:val="en-GB" w:eastAsia="en-GB" w:bidi="ar-SA"/>
              </w:rPr>
              <w:t>Sanchia Brandreth</w:t>
            </w:r>
          </w:p>
          <w:p>
            <w:pPr>
              <w:pStyle w:val="Normal"/>
              <w:keepLines/>
              <w:widowControl w:val="false"/>
              <w:spacing w:before="0" w:after="0"/>
              <w:jc w:val="both"/>
              <w:rPr>
                <w:bCs/>
                <w:spacing w:val="-20"/>
              </w:rPr>
            </w:pPr>
            <w:r>
              <w:rPr>
                <w:rFonts w:eastAsia="Times New Roman"/>
                <w:bCs/>
                <w:spacing w:val="-20"/>
                <w:lang w:val="en-GB" w:eastAsia="en-GB" w:bidi="ar-SA"/>
              </w:rPr>
              <w:t>Tel: 07896 794720</w:t>
            </w:r>
          </w:p>
        </w:tc>
      </w:tr>
      <w:tr>
        <w:trPr>
          <w:trHeight w:val="1000" w:hRule="atLeast"/>
        </w:trPr>
        <w:tc>
          <w:tcPr>
            <w:tcW w:w="1379" w:type="dxa"/>
            <w:tcBorders/>
          </w:tcPr>
          <w:p>
            <w:pPr>
              <w:pStyle w:val="Normal"/>
              <w:keepLines/>
              <w:widowControl w:val="false"/>
              <w:spacing w:before="0" w:after="0"/>
              <w:jc w:val="both"/>
              <w:rPr>
                <w:bCs/>
                <w:spacing w:val="-20"/>
                <w:sz w:val="36"/>
                <w:szCs w:val="36"/>
              </w:rPr>
            </w:pPr>
            <w:r>
              <w:rPr>
                <w:rFonts w:eastAsia="Times New Roman"/>
                <w:lang w:val="en-GB" w:eastAsia="en-GB" w:bidi="ar-SA"/>
              </w:rPr>
              <w:drawing>
                <wp:inline distT="0" distB="0" distL="0" distR="0">
                  <wp:extent cx="716280" cy="71628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4"/>
                          <a:stretch>
                            <a:fillRect/>
                          </a:stretch>
                        </pic:blipFill>
                        <pic:spPr bwMode="auto">
                          <a:xfrm>
                            <a:off x="0" y="0"/>
                            <a:ext cx="716280" cy="716280"/>
                          </a:xfrm>
                          <a:prstGeom prst="rect">
                            <a:avLst/>
                          </a:prstGeom>
                        </pic:spPr>
                      </pic:pic>
                    </a:graphicData>
                  </a:graphic>
                </wp:inline>
              </w:drawing>
            </w:r>
          </w:p>
        </w:tc>
        <w:tc>
          <w:tcPr>
            <w:tcW w:w="9247" w:type="dxa"/>
            <w:tcBorders/>
            <w:vAlign w:val="center"/>
          </w:tcPr>
          <w:p>
            <w:pPr>
              <w:pStyle w:val="Normal"/>
              <w:keepLines/>
              <w:widowControl w:val="false"/>
              <w:spacing w:before="0" w:after="0"/>
              <w:jc w:val="both"/>
              <w:rPr>
                <w:b/>
                <w:b/>
                <w:spacing w:val="-20"/>
              </w:rPr>
            </w:pPr>
            <w:r>
              <w:rPr>
                <w:rFonts w:eastAsia="Times New Roman"/>
                <w:b/>
                <w:spacing w:val="-20"/>
                <w:lang w:val="en-GB" w:eastAsia="en-GB" w:bidi="ar-SA"/>
              </w:rPr>
              <w:t>Deputy Safeguarding Lead</w:t>
            </w:r>
          </w:p>
          <w:p>
            <w:pPr>
              <w:pStyle w:val="Normal"/>
              <w:keepLines/>
              <w:widowControl w:val="false"/>
              <w:spacing w:before="0" w:after="0"/>
              <w:jc w:val="both"/>
              <w:rPr>
                <w:bCs/>
                <w:spacing w:val="-20"/>
              </w:rPr>
            </w:pPr>
            <w:r>
              <w:rPr>
                <w:rFonts w:eastAsia="Times New Roman"/>
                <w:b/>
                <w:spacing w:val="-20"/>
                <w:lang w:val="en-GB" w:eastAsia="en-GB" w:bidi="ar-SA"/>
              </w:rPr>
              <w:t>Laura Stretch</w:t>
            </w:r>
          </w:p>
          <w:p>
            <w:pPr>
              <w:pStyle w:val="Normal"/>
              <w:keepLines/>
              <w:widowControl w:val="false"/>
              <w:spacing w:before="0" w:after="0"/>
              <w:jc w:val="both"/>
              <w:rPr>
                <w:spacing w:val="-20"/>
              </w:rPr>
            </w:pPr>
            <w:r>
              <w:rPr>
                <w:rFonts w:eastAsia="Times New Roman"/>
                <w:spacing w:val="-20"/>
                <w:lang w:val="en-GB" w:eastAsia="en-GB" w:bidi="ar-SA"/>
              </w:rPr>
              <w:t>Tel: 07733 364296</w:t>
            </w:r>
          </w:p>
        </w:tc>
      </w:tr>
      <w:tr>
        <w:trPr>
          <w:trHeight w:val="1000" w:hRule="atLeast"/>
        </w:trPr>
        <w:tc>
          <w:tcPr>
            <w:tcW w:w="1379" w:type="dxa"/>
            <w:tcBorders/>
          </w:tcPr>
          <w:p>
            <w:pPr>
              <w:pStyle w:val="Normal"/>
              <w:keepLines/>
              <w:widowControl w:val="false"/>
              <w:spacing w:before="0" w:after="0"/>
              <w:jc w:val="both"/>
              <w:rPr>
                <w:bCs/>
                <w:spacing w:val="-20"/>
                <w:sz w:val="36"/>
                <w:szCs w:val="36"/>
              </w:rPr>
            </w:pPr>
            <w:r>
              <w:rPr>
                <w:rFonts w:eastAsia="Times New Roman"/>
                <w:lang w:val="en-GB" w:eastAsia="en-GB" w:bidi="ar-SA"/>
              </w:rPr>
              <w:drawing>
                <wp:inline distT="0" distB="0" distL="0" distR="0">
                  <wp:extent cx="716280" cy="755015"/>
                  <wp:effectExtent l="0" t="0" r="0" b="0"/>
                  <wp:docPr id="5"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pic:cNvPicPr>
                            <a:picLocks noChangeAspect="1" noChangeArrowheads="1"/>
                          </pic:cNvPicPr>
                        </pic:nvPicPr>
                        <pic:blipFill>
                          <a:blip r:embed="rId15"/>
                          <a:stretch>
                            <a:fillRect/>
                          </a:stretch>
                        </pic:blipFill>
                        <pic:spPr bwMode="auto">
                          <a:xfrm>
                            <a:off x="0" y="0"/>
                            <a:ext cx="716280" cy="755015"/>
                          </a:xfrm>
                          <a:prstGeom prst="rect">
                            <a:avLst/>
                          </a:prstGeom>
                        </pic:spPr>
                      </pic:pic>
                    </a:graphicData>
                  </a:graphic>
                </wp:inline>
              </w:drawing>
            </w:r>
          </w:p>
          <w:p>
            <w:pPr>
              <w:pStyle w:val="Normal"/>
              <w:keepLines/>
              <w:widowControl w:val="false"/>
              <w:spacing w:before="0" w:after="0"/>
              <w:jc w:val="both"/>
              <w:rPr>
                <w:bCs/>
                <w:spacing w:val="-20"/>
                <w:sz w:val="36"/>
                <w:szCs w:val="36"/>
              </w:rPr>
            </w:pPr>
            <w:r>
              <w:rPr>
                <w:rFonts w:eastAsia="Times New Roman"/>
                <w:bCs/>
                <w:spacing w:val="-20"/>
                <w:sz w:val="36"/>
                <w:szCs w:val="36"/>
                <w:lang w:val="en-GB" w:eastAsia="en-GB" w:bidi="ar-SA"/>
              </w:rPr>
            </w:r>
          </w:p>
        </w:tc>
        <w:tc>
          <w:tcPr>
            <w:tcW w:w="9247" w:type="dxa"/>
            <w:tcBorders/>
            <w:vAlign w:val="center"/>
          </w:tcPr>
          <w:p>
            <w:pPr>
              <w:pStyle w:val="Normal"/>
              <w:keepLines/>
              <w:widowControl w:val="false"/>
              <w:spacing w:before="0" w:after="0"/>
              <w:jc w:val="both"/>
              <w:rPr>
                <w:b/>
                <w:b/>
                <w:bCs/>
                <w:spacing w:val="-20"/>
              </w:rPr>
            </w:pPr>
            <w:r>
              <w:rPr>
                <w:rFonts w:eastAsia="Times New Roman"/>
                <w:b/>
                <w:bCs/>
                <w:spacing w:val="-20"/>
                <w:lang w:val="en-GB" w:eastAsia="en-GB" w:bidi="ar-SA"/>
              </w:rPr>
              <w:t>Safeguarding Lead on the Committee</w:t>
            </w:r>
          </w:p>
          <w:p>
            <w:pPr>
              <w:pStyle w:val="Normal"/>
              <w:keepLines/>
              <w:widowControl w:val="false"/>
              <w:spacing w:before="0" w:after="0"/>
              <w:jc w:val="both"/>
              <w:rPr>
                <w:b/>
                <w:b/>
                <w:bCs/>
                <w:spacing w:val="-20"/>
              </w:rPr>
            </w:pPr>
            <w:r>
              <w:rPr>
                <w:rFonts w:eastAsia="Times New Roman"/>
                <w:b/>
                <w:bCs/>
                <w:spacing w:val="-20"/>
                <w:lang w:val="en-GB" w:eastAsia="en-GB" w:bidi="ar-SA"/>
              </w:rPr>
              <w:t>Alison Carter</w:t>
            </w:r>
          </w:p>
          <w:p>
            <w:pPr>
              <w:pStyle w:val="Normal"/>
              <w:keepLines/>
              <w:widowControl w:val="false"/>
              <w:spacing w:before="0" w:after="0"/>
              <w:jc w:val="both"/>
              <w:rPr>
                <w:spacing w:val="-20"/>
              </w:rPr>
            </w:pPr>
            <w:r>
              <w:rPr>
                <w:rFonts w:eastAsia="Times New Roman"/>
                <w:spacing w:val="-20"/>
                <w:lang w:val="en-GB" w:eastAsia="en-GB" w:bidi="ar-SA"/>
              </w:rPr>
              <w:t>Tel: 07964 179132</w:t>
            </w:r>
          </w:p>
        </w:tc>
      </w:tr>
    </w:tbl>
    <w:p>
      <w:pPr>
        <w:pStyle w:val="Normal"/>
        <w:keepLines/>
        <w:jc w:val="both"/>
        <w:rPr>
          <w:b/>
          <w:b/>
          <w:color w:val="FF0000"/>
          <w:spacing w:val="-20"/>
        </w:rPr>
      </w:pPr>
      <w:r>
        <w:rPr>
          <w:b/>
          <w:color w:val="FF0000"/>
          <w:spacing w:val="-20"/>
        </w:rPr>
        <w:t>In an emergency, call the police on 999.</w:t>
      </w:r>
    </w:p>
    <w:tbl>
      <w:tblPr>
        <w:tblStyle w:val="TableGrid"/>
        <w:tblW w:w="1062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313"/>
        <w:gridCol w:w="5313"/>
      </w:tblGrid>
      <w:tr>
        <w:trPr/>
        <w:tc>
          <w:tcPr>
            <w:tcW w:w="5313" w:type="dxa"/>
            <w:tcBorders/>
          </w:tcPr>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drawing>
                <wp:anchor behindDoc="0" distT="0" distB="0" distL="114300" distR="114300" simplePos="0" locked="0" layoutInCell="1" allowOverlap="1" relativeHeight="7">
                  <wp:simplePos x="0" y="0"/>
                  <wp:positionH relativeFrom="column">
                    <wp:posOffset>1951355</wp:posOffset>
                  </wp:positionH>
                  <wp:positionV relativeFrom="paragraph">
                    <wp:posOffset>635</wp:posOffset>
                  </wp:positionV>
                  <wp:extent cx="1410335" cy="584200"/>
                  <wp:effectExtent l="0" t="0" r="0" b="0"/>
                  <wp:wrapTight wrapText="bothSides">
                    <wp:wrapPolygon edited="0">
                      <wp:start x="-77" y="0"/>
                      <wp:lineTo x="-77" y="20929"/>
                      <wp:lineTo x="21288" y="20929"/>
                      <wp:lineTo x="21288" y="0"/>
                      <wp:lineTo x="-77" y="0"/>
                    </wp:wrapPolygon>
                  </wp:wrapTight>
                  <wp:docPr id="6" name="dimg_YYxraJDHL7q5hbIPlaWDuAI_353" descr="Suffolk MASH launches safeguar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mg_YYxraJDHL7q5hbIPlaWDuAI_353" descr="Suffolk MASH launches safeguarding ..."/>
                          <pic:cNvPicPr>
                            <a:picLocks noChangeAspect="1" noChangeArrowheads="1"/>
                          </pic:cNvPicPr>
                        </pic:nvPicPr>
                        <pic:blipFill>
                          <a:blip r:embed="rId16"/>
                          <a:stretch>
                            <a:fillRect/>
                          </a:stretch>
                        </pic:blipFill>
                        <pic:spPr bwMode="auto">
                          <a:xfrm>
                            <a:off x="0" y="0"/>
                            <a:ext cx="1410335" cy="584200"/>
                          </a:xfrm>
                          <a:prstGeom prst="rect">
                            <a:avLst/>
                          </a:prstGeom>
                        </pic:spPr>
                      </pic:pic>
                    </a:graphicData>
                  </a:graphic>
                </wp:anchor>
              </w:drawing>
            </w:r>
          </w:p>
          <w:p>
            <w:pPr>
              <w:pStyle w:val="Normal"/>
              <w:keepLines/>
              <w:widowControl w:val="false"/>
              <w:spacing w:before="0" w:after="0"/>
              <w:jc w:val="both"/>
              <w:rPr>
                <w:b/>
                <w:b/>
                <w:spacing w:val="-20"/>
              </w:rPr>
            </w:pPr>
            <w:r>
              <w:rPr>
                <w:rFonts w:eastAsia="Times New Roman"/>
                <w:b/>
                <w:spacing w:val="-20"/>
                <w:lang w:val="en-GB" w:eastAsia="en-GB" w:bidi="ar-SA"/>
              </w:rPr>
              <w:t>Suffolk</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Cs/>
                <w:spacing w:val="-20"/>
                <w:sz w:val="28"/>
                <w:szCs w:val="28"/>
                <w:lang w:val="en-GB" w:eastAsia="en-GB" w:bidi="ar-SA"/>
              </w:rPr>
              <w:t xml:space="preserve">Contact the MASH Professional Consultation Line: </w:t>
            </w:r>
            <w:r>
              <w:rPr>
                <w:rFonts w:eastAsia="Times New Roman"/>
                <w:b/>
                <w:spacing w:val="-20"/>
                <w:sz w:val="28"/>
                <w:szCs w:val="28"/>
                <w:lang w:val="en-GB" w:eastAsia="en-GB" w:bidi="ar-SA"/>
              </w:rPr>
              <w:t>0345 606 1499</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Monday to Thursday               09:00 to17:00 </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Friday                                         09:00 to16:25</w:t>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The consultation line is for us to discuss the most effective way of providing or obtaining help for a child or adult we feel is at risk of abuse. </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For an urgent safeguarding concern, contact </w:t>
            </w:r>
          </w:p>
          <w:p>
            <w:pPr>
              <w:pStyle w:val="Normal"/>
              <w:keepLines/>
              <w:widowControl w:val="false"/>
              <w:spacing w:before="0" w:after="0"/>
              <w:jc w:val="both"/>
              <w:rPr>
                <w:bCs/>
                <w:spacing w:val="-20"/>
                <w:sz w:val="28"/>
                <w:szCs w:val="28"/>
              </w:rPr>
            </w:pPr>
            <w:r>
              <w:rPr>
                <w:rFonts w:eastAsia="Times New Roman"/>
                <w:b/>
                <w:bCs/>
                <w:spacing w:val="-20"/>
                <w:sz w:val="28"/>
                <w:szCs w:val="28"/>
                <w:lang w:val="en-GB" w:eastAsia="en-GB" w:bidi="ar-SA"/>
              </w:rPr>
              <w:t>Customer First</w:t>
            </w:r>
            <w:r>
              <w:rPr>
                <w:rFonts w:eastAsia="Times New Roman"/>
                <w:bCs/>
                <w:spacing w:val="-20"/>
                <w:sz w:val="28"/>
                <w:szCs w:val="28"/>
                <w:lang w:val="en-GB" w:eastAsia="en-GB" w:bidi="ar-SA"/>
              </w:rPr>
              <w:t xml:space="preserve"> (the first point of contact for social services in Suffolk) via web chat or telephone </w:t>
            </w:r>
          </w:p>
          <w:p>
            <w:pPr>
              <w:pStyle w:val="Normal"/>
              <w:keepLines/>
              <w:widowControl w:val="false"/>
              <w:spacing w:before="0" w:after="0"/>
              <w:jc w:val="both"/>
              <w:rPr>
                <w:bCs/>
                <w:spacing w:val="-20"/>
                <w:sz w:val="28"/>
                <w:szCs w:val="28"/>
              </w:rPr>
            </w:pPr>
            <w:r>
              <w:rPr>
                <w:rFonts w:eastAsia="Times New Roman"/>
                <w:b/>
                <w:bCs/>
                <w:spacing w:val="-20"/>
                <w:sz w:val="28"/>
                <w:szCs w:val="28"/>
                <w:lang w:val="en-GB" w:eastAsia="en-GB" w:bidi="ar-SA"/>
              </w:rPr>
              <w:t xml:space="preserve">0800 917 1109 </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24 hour emergency duty service</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Complete a referral to the </w:t>
            </w:r>
            <w:r>
              <w:rPr>
                <w:rFonts w:eastAsia="Times New Roman"/>
                <w:b/>
                <w:spacing w:val="-20"/>
                <w:sz w:val="28"/>
                <w:szCs w:val="28"/>
                <w:lang w:val="en-GB" w:eastAsia="en-GB" w:bidi="ar-SA"/>
              </w:rPr>
              <w:t>Suffolk Safeguarding Partnership</w:t>
            </w:r>
            <w:r>
              <w:rPr>
                <w:rFonts w:eastAsia="Times New Roman"/>
                <w:bCs/>
                <w:spacing w:val="-20"/>
                <w:sz w:val="28"/>
                <w:szCs w:val="28"/>
                <w:lang w:val="en-GB" w:eastAsia="en-GB" w:bidi="ar-SA"/>
              </w:rPr>
              <w:t xml:space="preserve"> </w:t>
            </w:r>
          </w:p>
          <w:p>
            <w:pPr>
              <w:pStyle w:val="Normal"/>
              <w:keepLines/>
              <w:widowControl w:val="false"/>
              <w:spacing w:before="0" w:after="0"/>
              <w:jc w:val="both"/>
              <w:rPr/>
            </w:pPr>
            <w:hyperlink r:id="rId17">
              <w:r>
                <w:rPr>
                  <w:rStyle w:val="InternetLink"/>
                  <w:rFonts w:eastAsia="Times New Roman"/>
                  <w:bCs/>
                  <w:spacing w:val="-20"/>
                  <w:sz w:val="28"/>
                  <w:szCs w:val="28"/>
                  <w:lang w:val="en-GB" w:eastAsia="en-GB" w:bidi="ar-SA"/>
                </w:rPr>
                <w:t>https://www.suffolksp.org.uk/</w:t>
              </w:r>
            </w:hyperlink>
          </w:p>
          <w:p>
            <w:pPr>
              <w:pStyle w:val="Normal"/>
              <w:keepLines/>
              <w:widowControl w:val="false"/>
              <w:spacing w:before="0" w:after="0"/>
              <w:jc w:val="both"/>
              <w:rPr>
                <w:spacing w:val="-20"/>
                <w:sz w:val="28"/>
                <w:szCs w:val="28"/>
              </w:rPr>
            </w:pPr>
            <w:r>
              <w:rPr>
                <w:rFonts w:eastAsia="Times New Roman"/>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drawing>
                <wp:anchor behindDoc="0" distT="0" distB="0" distL="114300" distR="114300" simplePos="0" locked="0" layoutInCell="1" allowOverlap="1" relativeHeight="10">
                  <wp:simplePos x="0" y="0"/>
                  <wp:positionH relativeFrom="column">
                    <wp:posOffset>-6350</wp:posOffset>
                  </wp:positionH>
                  <wp:positionV relativeFrom="paragraph">
                    <wp:posOffset>212090</wp:posOffset>
                  </wp:positionV>
                  <wp:extent cx="1546860" cy="535305"/>
                  <wp:effectExtent l="0" t="0" r="0" b="0"/>
                  <wp:wrapSquare wrapText="bothSides"/>
                  <wp:docPr id="7" name="dimg_cY1raPGcNP67hbIP7_bn4QY_19" descr="Suffolk Safeguarding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mg_cY1raPGcNP67hbIP7_bn4QY_19" descr="Suffolk Safeguarding Partnership"/>
                          <pic:cNvPicPr>
                            <a:picLocks noChangeAspect="1" noChangeArrowheads="1"/>
                          </pic:cNvPicPr>
                        </pic:nvPicPr>
                        <pic:blipFill>
                          <a:blip r:embed="rId18"/>
                          <a:stretch>
                            <a:fillRect/>
                          </a:stretch>
                        </pic:blipFill>
                        <pic:spPr bwMode="auto">
                          <a:xfrm>
                            <a:off x="0" y="0"/>
                            <a:ext cx="1546860" cy="535305"/>
                          </a:xfrm>
                          <a:prstGeom prst="rect">
                            <a:avLst/>
                          </a:prstGeom>
                        </pic:spPr>
                      </pic:pic>
                    </a:graphicData>
                  </a:graphic>
                </wp:anchor>
              </w:drawing>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t>Allegations</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If you have concerns that a member of staff or other professional has behaved in a way that has harmed a child, committed a criminal offence against a child or poses a risk to a child and do not feel that the DSL or deputy DSL are taking appropriate action, or the concern relates to the DSL or deputy DSL, you must report this to the </w:t>
            </w:r>
            <w:r>
              <w:rPr>
                <w:rFonts w:eastAsia="Times New Roman"/>
                <w:b/>
                <w:spacing w:val="-20"/>
                <w:sz w:val="28"/>
                <w:szCs w:val="28"/>
                <w:lang w:val="en-GB" w:eastAsia="en-GB" w:bidi="ar-SA"/>
              </w:rPr>
              <w:t>LADO</w:t>
            </w:r>
            <w:r>
              <w:rPr>
                <w:rFonts w:eastAsia="Times New Roman"/>
                <w:bCs/>
                <w:spacing w:val="-20"/>
                <w:sz w:val="28"/>
                <w:szCs w:val="28"/>
                <w:lang w:val="en-GB" w:eastAsia="en-GB" w:bidi="ar-SA"/>
              </w:rPr>
              <w:t xml:space="preserve"> </w:t>
            </w:r>
          </w:p>
          <w:p>
            <w:pPr>
              <w:pStyle w:val="Normal"/>
              <w:keepLines/>
              <w:widowControl w:val="false"/>
              <w:spacing w:before="0" w:after="0"/>
              <w:jc w:val="both"/>
              <w:rPr>
                <w:b/>
                <w:b/>
                <w:spacing w:val="-18"/>
                <w:sz w:val="28"/>
                <w:szCs w:val="28"/>
              </w:rPr>
            </w:pPr>
            <w:r>
              <w:rPr>
                <w:rFonts w:eastAsia="Times New Roman"/>
                <w:bCs/>
                <w:spacing w:val="-18"/>
                <w:sz w:val="28"/>
                <w:szCs w:val="28"/>
                <w:lang w:val="en-GB" w:eastAsia="en-GB" w:bidi="ar-SA"/>
              </w:rPr>
              <w:t xml:space="preserve">(Local Authority </w:t>
            </w:r>
            <w:r>
              <w:rPr>
                <w:rFonts w:eastAsia="Times New Roman"/>
                <w:bCs/>
                <w:spacing w:val="-20"/>
                <w:sz w:val="28"/>
                <w:szCs w:val="28"/>
                <w:lang w:val="en-GB" w:eastAsia="en-GB" w:bidi="ar-SA"/>
              </w:rPr>
              <w:t xml:space="preserve">Designated Officer) by email </w:t>
            </w:r>
            <w:hyperlink r:id="rId19">
              <w:r>
                <w:rPr>
                  <w:rStyle w:val="InternetLink"/>
                  <w:rFonts w:eastAsia="Times New Roman"/>
                  <w:bCs/>
                  <w:spacing w:val="-18"/>
                  <w:sz w:val="28"/>
                  <w:szCs w:val="28"/>
                  <w:lang w:val="en-GB" w:eastAsia="en-GB" w:bidi="ar-SA"/>
                </w:rPr>
                <w:t>LADO@suffolk.gov.uk</w:t>
              </w:r>
            </w:hyperlink>
            <w:r>
              <w:rPr>
                <w:rFonts w:eastAsia="Times New Roman"/>
                <w:bCs/>
                <w:spacing w:val="-18"/>
                <w:sz w:val="28"/>
                <w:szCs w:val="28"/>
                <w:lang w:val="en-GB" w:eastAsia="en-GB" w:bidi="ar-SA"/>
              </w:rPr>
              <w:t xml:space="preserve"> or via the central telephone number </w:t>
            </w:r>
            <w:r>
              <w:rPr>
                <w:rFonts w:eastAsia="Times New Roman"/>
                <w:b/>
                <w:spacing w:val="-18"/>
                <w:sz w:val="28"/>
                <w:szCs w:val="28"/>
                <w:lang w:val="en-GB" w:eastAsia="en-GB" w:bidi="ar-SA"/>
              </w:rPr>
              <w:t>0300 123 2044</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t>Whistleblowing</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 </w:t>
            </w:r>
            <w:r>
              <w:rPr>
                <w:rFonts w:eastAsia="Times New Roman"/>
                <w:bCs/>
                <w:spacing w:val="-20"/>
                <w:sz w:val="28"/>
                <w:szCs w:val="28"/>
                <w:lang w:val="en-GB" w:eastAsia="en-GB" w:bidi="ar-SA"/>
              </w:rPr>
              <w:t xml:space="preserve">If you have concerns or grievance about the organisation these must be referred to the manager or the Chair of the Board of Trustees. All allegations of harm must be report to the </w:t>
            </w:r>
            <w:r>
              <w:rPr>
                <w:rFonts w:eastAsia="Times New Roman"/>
                <w:b/>
                <w:spacing w:val="-20"/>
                <w:sz w:val="28"/>
                <w:szCs w:val="28"/>
                <w:lang w:val="en-GB" w:eastAsia="en-GB" w:bidi="ar-SA"/>
              </w:rPr>
              <w:t>LADO</w:t>
            </w:r>
            <w:r>
              <w:rPr>
                <w:rFonts w:eastAsia="Times New Roman"/>
                <w:bCs/>
                <w:spacing w:val="-20"/>
                <w:sz w:val="28"/>
                <w:szCs w:val="28"/>
                <w:lang w:val="en-GB" w:eastAsia="en-GB" w:bidi="ar-SA"/>
              </w:rPr>
              <w:t xml:space="preserve"> (Local Authority Designated Officer) by email. </w:t>
            </w:r>
          </w:p>
          <w:p>
            <w:pPr>
              <w:pStyle w:val="Normal"/>
              <w:keepLines/>
              <w:widowControl w:val="false"/>
              <w:spacing w:before="0" w:after="0"/>
              <w:jc w:val="both"/>
              <w:rPr>
                <w:b/>
                <w:b/>
                <w:spacing w:val="-20"/>
                <w:sz w:val="28"/>
                <w:szCs w:val="28"/>
              </w:rPr>
            </w:pPr>
            <w:hyperlink r:id="rId20">
              <w:r>
                <w:rPr>
                  <w:rStyle w:val="InternetLink"/>
                  <w:rFonts w:eastAsia="Times New Roman"/>
                  <w:bCs/>
                  <w:spacing w:val="-20"/>
                  <w:sz w:val="28"/>
                  <w:szCs w:val="28"/>
                  <w:lang w:val="en-GB" w:eastAsia="en-GB" w:bidi="ar-SA"/>
                </w:rPr>
                <w:t>LADO@suffolk.gov.uk</w:t>
              </w:r>
            </w:hyperlink>
            <w:r>
              <w:rPr>
                <w:rFonts w:eastAsia="Times New Roman"/>
                <w:lang w:val="en-GB" w:eastAsia="en-GB" w:bidi="ar-SA"/>
              </w:rPr>
              <w:t xml:space="preserve"> </w:t>
            </w:r>
            <w:r>
              <w:rPr>
                <w:rFonts w:eastAsia="Times New Roman"/>
                <w:bCs/>
                <w:spacing w:val="-20"/>
                <w:sz w:val="28"/>
                <w:szCs w:val="28"/>
                <w:lang w:val="en-GB" w:eastAsia="en-GB" w:bidi="ar-SA"/>
              </w:rPr>
              <w:t xml:space="preserve">or                  </w:t>
            </w:r>
            <w:r>
              <w:rPr>
                <w:rFonts w:eastAsia="Times New Roman"/>
                <w:b/>
                <w:spacing w:val="-20"/>
                <w:sz w:val="28"/>
                <w:szCs w:val="28"/>
                <w:lang w:val="en-GB" w:eastAsia="en-GB" w:bidi="ar-SA"/>
              </w:rPr>
              <w:t>0300 123 2044</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
                <w:b/>
                <w:bCs/>
                <w:spacing w:val="-20"/>
                <w:sz w:val="28"/>
                <w:szCs w:val="28"/>
              </w:rPr>
            </w:pPr>
            <w:r>
              <w:rPr>
                <w:rFonts w:eastAsia="Times New Roman"/>
                <w:b/>
                <w:bCs/>
                <w:spacing w:val="-20"/>
                <w:sz w:val="28"/>
                <w:szCs w:val="28"/>
                <w:lang w:val="en-GB" w:eastAsia="en-GB" w:bidi="ar-SA"/>
              </w:rPr>
              <w:t>Concerns about another setting</w:t>
            </w:r>
          </w:p>
          <w:p>
            <w:pPr>
              <w:pStyle w:val="Normal"/>
              <w:keepLines/>
              <w:widowControl w:val="false"/>
              <w:spacing w:before="0" w:after="0"/>
              <w:jc w:val="left"/>
              <w:rPr>
                <w:bCs/>
                <w:spacing w:val="-20"/>
                <w:sz w:val="28"/>
                <w:szCs w:val="28"/>
              </w:rPr>
            </w:pPr>
            <w:r>
              <w:rPr>
                <w:rFonts w:eastAsia="Times New Roman"/>
                <w:spacing w:val="-20"/>
                <w:sz w:val="28"/>
                <w:szCs w:val="28"/>
                <w:lang w:val="en-GB" w:eastAsia="en-GB" w:bidi="ar-SA"/>
              </w:rPr>
              <w:t xml:space="preserve">Contact </w:t>
            </w:r>
            <w:r>
              <w:rPr>
                <w:rFonts w:eastAsia="Times New Roman"/>
                <w:b/>
                <w:bCs/>
                <w:spacing w:val="-20"/>
                <w:sz w:val="28"/>
                <w:szCs w:val="28"/>
                <w:lang w:val="en-GB" w:eastAsia="en-GB" w:bidi="ar-SA"/>
              </w:rPr>
              <w:t>Ofsted</w:t>
            </w:r>
            <w:r>
              <w:rPr>
                <w:rFonts w:eastAsia="Times New Roman"/>
                <w:bCs/>
                <w:spacing w:val="-20"/>
                <w:sz w:val="28"/>
                <w:szCs w:val="28"/>
                <w:lang w:val="en-GB" w:eastAsia="en-GB" w:bidi="ar-SA"/>
              </w:rPr>
              <w:t xml:space="preserve"> </w:t>
            </w:r>
            <w:hyperlink r:id="rId21">
              <w:r>
                <w:rPr>
                  <w:rStyle w:val="InternetLink"/>
                  <w:rFonts w:eastAsia="Times New Roman"/>
                  <w:bCs/>
                  <w:spacing w:val="-20"/>
                  <w:sz w:val="28"/>
                  <w:szCs w:val="28"/>
                  <w:lang w:val="en-GB" w:eastAsia="en-GB" w:bidi="ar-SA"/>
                </w:rPr>
                <w:t>https://www.gov.uk/government/organisations/ofsted/about/complaints-procedure</w:t>
              </w:r>
            </w:hyperlink>
            <w:r>
              <w:rPr>
                <w:rFonts w:eastAsia="Times New Roman"/>
                <w:bCs/>
                <w:spacing w:val="-20"/>
                <w:sz w:val="28"/>
                <w:szCs w:val="28"/>
                <w:u w:val="single"/>
                <w:lang w:val="en-GB" w:eastAsia="en-GB" w:bidi="ar-SA"/>
              </w:rPr>
              <w:t>.</w:t>
            </w:r>
            <w:r>
              <w:rPr>
                <w:rFonts w:eastAsia="Times New Roman"/>
                <w:bCs/>
                <w:spacing w:val="-20"/>
                <w:sz w:val="28"/>
                <w:szCs w:val="28"/>
                <w:lang w:val="en-GB" w:eastAsia="en-GB" w:bidi="ar-SA"/>
              </w:rPr>
              <w:t xml:space="preserve"> </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If you have concerns about the practice of staff members in another setting, contact the LADO (Local Authority Designated Officer)</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Email </w:t>
            </w:r>
            <w:hyperlink r:id="rId22">
              <w:r>
                <w:rPr>
                  <w:rStyle w:val="InternetLink"/>
                  <w:rFonts w:eastAsia="Times New Roman"/>
                  <w:bCs/>
                  <w:spacing w:val="-20"/>
                  <w:sz w:val="28"/>
                  <w:szCs w:val="28"/>
                  <w:lang w:val="en-GB" w:eastAsia="en-GB" w:bidi="ar-SA"/>
                </w:rPr>
                <w:t>LADO@suffolk.gov.uk</w:t>
              </w:r>
            </w:hyperlink>
            <w:r>
              <w:rPr>
                <w:rFonts w:eastAsia="Times New Roman"/>
                <w:bCs/>
                <w:spacing w:val="-20"/>
                <w:sz w:val="28"/>
                <w:szCs w:val="28"/>
                <w:lang w:val="en-GB" w:eastAsia="en-GB" w:bidi="ar-SA"/>
              </w:rPr>
              <w:t xml:space="preserve"> or     </w:t>
            </w:r>
            <w:r>
              <w:rPr>
                <w:rFonts w:eastAsia="Times New Roman"/>
                <w:b/>
                <w:spacing w:val="-20"/>
                <w:sz w:val="28"/>
                <w:szCs w:val="28"/>
                <w:lang w:val="en-GB" w:eastAsia="en-GB" w:bidi="ar-SA"/>
              </w:rPr>
              <w:t>0300 123 2044</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r>
          </w:p>
        </w:tc>
        <w:tc>
          <w:tcPr>
            <w:tcW w:w="5313" w:type="dxa"/>
            <w:tcBorders/>
          </w:tcPr>
          <w:p>
            <w:pPr>
              <w:pStyle w:val="Normal"/>
              <w:keepLines/>
              <w:widowControl w:val="false"/>
              <w:spacing w:before="0" w:after="0"/>
              <w:jc w:val="left"/>
              <w:rPr>
                <w:b/>
                <w:b/>
                <w:spacing w:val="-20"/>
                <w:sz w:val="28"/>
                <w:szCs w:val="28"/>
              </w:rPr>
            </w:pPr>
            <w:r>
              <w:rPr>
                <w:rFonts w:eastAsia="Times New Roman"/>
                <w:b/>
                <w:spacing w:val="-20"/>
                <w:lang w:val="en-GB" w:eastAsia="en-GB" w:bidi="ar-SA"/>
              </w:rPr>
              <w:t xml:space="preserve">Norfolk </w:t>
            </w:r>
            <w:r>
              <w:rPr>
                <w:rFonts w:eastAsia="Times New Roman"/>
                <w:b/>
                <w:spacing w:val="-20"/>
                <w:sz w:val="28"/>
                <w:szCs w:val="28"/>
                <w:lang w:val="en-GB" w:eastAsia="en-GB" w:bidi="ar-SA"/>
              </w:rPr>
              <w:t xml:space="preserve">                            </w:t>
            </w:r>
            <w:r>
              <w:rPr>
                <w:rFonts w:eastAsia="Times New Roman"/>
                <w:lang w:val="en-GB" w:eastAsia="en-GB" w:bidi="ar-SA"/>
              </w:rPr>
              <w:drawing>
                <wp:inline distT="0" distB="0" distL="0" distR="0">
                  <wp:extent cx="1087120" cy="603885"/>
                  <wp:effectExtent l="0" t="0" r="0" b="0"/>
                  <wp:docPr id="8" name="Picture 1" descr="Multi-agency safeguarding hub (MASH) - Norfolk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Multi-agency safeguarding hub (MASH) - Norfolk County Council"/>
                          <pic:cNvPicPr>
                            <a:picLocks noChangeAspect="1" noChangeArrowheads="1"/>
                          </pic:cNvPicPr>
                        </pic:nvPicPr>
                        <pic:blipFill>
                          <a:blip r:embed="rId23"/>
                          <a:stretch>
                            <a:fillRect/>
                          </a:stretch>
                        </pic:blipFill>
                        <pic:spPr bwMode="auto">
                          <a:xfrm>
                            <a:off x="0" y="0"/>
                            <a:ext cx="1087120" cy="603885"/>
                          </a:xfrm>
                          <a:prstGeom prst="rect">
                            <a:avLst/>
                          </a:prstGeom>
                        </pic:spPr>
                      </pic:pic>
                    </a:graphicData>
                  </a:graphic>
                </wp:inline>
              </w:drawing>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Contact the </w:t>
            </w:r>
            <w:r>
              <w:rPr>
                <w:rFonts w:eastAsia="Times New Roman"/>
                <w:b/>
                <w:spacing w:val="-20"/>
                <w:sz w:val="28"/>
                <w:szCs w:val="28"/>
                <w:lang w:val="en-GB" w:eastAsia="en-GB" w:bidi="ar-SA"/>
              </w:rPr>
              <w:t>MASH</w:t>
            </w:r>
            <w:r>
              <w:rPr>
                <w:rFonts w:eastAsia="Times New Roman"/>
                <w:bCs/>
                <w:spacing w:val="-20"/>
                <w:sz w:val="28"/>
                <w:szCs w:val="28"/>
                <w:lang w:val="en-GB" w:eastAsia="en-GB" w:bidi="ar-SA"/>
              </w:rPr>
              <w:t xml:space="preserve"> Professional Consultation Line: </w:t>
            </w:r>
            <w:r>
              <w:rPr>
                <w:rFonts w:eastAsia="Times New Roman"/>
                <w:b/>
                <w:spacing w:val="-20"/>
                <w:sz w:val="28"/>
                <w:szCs w:val="28"/>
                <w:lang w:val="en-GB" w:eastAsia="en-GB" w:bidi="ar-SA"/>
              </w:rPr>
              <w:t>0344 800 8020</w:t>
            </w:r>
            <w:r>
              <w:rPr>
                <w:rFonts w:eastAsia="Times New Roman"/>
                <w:bCs/>
                <w:spacing w:val="-20"/>
                <w:sz w:val="28"/>
                <w:szCs w:val="28"/>
                <w:lang w:val="en-GB" w:eastAsia="en-GB" w:bidi="ar-SA"/>
              </w:rPr>
              <w:t xml:space="preserve"> </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(operates an out-of-hours service in the evenings, bank holidays and weekends).  </w:t>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Cs/>
                <w:spacing w:val="-20"/>
                <w:sz w:val="28"/>
                <w:szCs w:val="28"/>
                <w:lang w:val="en-GB" w:eastAsia="en-GB" w:bidi="ar-SA"/>
              </w:rPr>
              <w:t xml:space="preserve">For an urgent safeguarding concern, contact </w:t>
            </w:r>
            <w:r>
              <w:rPr>
                <w:rFonts w:eastAsia="Times New Roman"/>
                <w:b/>
                <w:spacing w:val="-20"/>
                <w:sz w:val="28"/>
                <w:szCs w:val="28"/>
                <w:lang w:val="en-GB" w:eastAsia="en-GB" w:bidi="ar-SA"/>
              </w:rPr>
              <w:t>Children’s Advice and Duty Service</w:t>
            </w:r>
            <w:r>
              <w:rPr>
                <w:rFonts w:eastAsia="Times New Roman"/>
                <w:bCs/>
                <w:spacing w:val="-20"/>
                <w:sz w:val="28"/>
                <w:szCs w:val="28"/>
                <w:lang w:val="en-GB" w:eastAsia="en-GB" w:bidi="ar-SA"/>
              </w:rPr>
              <w:t xml:space="preserve"> (CADS)                </w:t>
            </w:r>
            <w:r>
              <w:rPr>
                <w:rFonts w:eastAsia="Times New Roman"/>
                <w:b/>
                <w:spacing w:val="-20"/>
                <w:sz w:val="28"/>
                <w:szCs w:val="28"/>
                <w:lang w:val="en-GB" w:eastAsia="en-GB" w:bidi="ar-SA"/>
              </w:rPr>
              <w:t>0344 800 8021</w:t>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CADS does not accept written referrals.</w:t>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lang w:val="en-GB" w:eastAsia="en-GB" w:bidi="ar-SA"/>
              </w:rPr>
              <w:drawing>
                <wp:inline distT="0" distB="0" distL="0" distR="0">
                  <wp:extent cx="1087120" cy="603885"/>
                  <wp:effectExtent l="0" t="0" r="0" b="0"/>
                  <wp:docPr id="9" name="Image4" descr="Multi-agency safeguarding hub (MASH) - Norfolk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 descr="Multi-agency safeguarding hub (MASH) - Norfolk County Council"/>
                          <pic:cNvPicPr>
                            <a:picLocks noChangeAspect="1" noChangeArrowheads="1"/>
                          </pic:cNvPicPr>
                        </pic:nvPicPr>
                        <pic:blipFill>
                          <a:blip r:embed="rId24"/>
                          <a:stretch>
                            <a:fillRect/>
                          </a:stretch>
                        </pic:blipFill>
                        <pic:spPr bwMode="auto">
                          <a:xfrm>
                            <a:off x="0" y="0"/>
                            <a:ext cx="1087120" cy="603885"/>
                          </a:xfrm>
                          <a:prstGeom prst="rect">
                            <a:avLst/>
                          </a:prstGeom>
                        </pic:spPr>
                      </pic:pic>
                    </a:graphicData>
                  </a:graphic>
                </wp:inline>
              </w:drawing>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t>Allegations</w:t>
            </w:r>
          </w:p>
          <w:p>
            <w:pPr>
              <w:pStyle w:val="Normal"/>
              <w:keepLines/>
              <w:widowControl w:val="false"/>
              <w:spacing w:before="0" w:after="0"/>
              <w:jc w:val="both"/>
              <w:rPr>
                <w:b/>
                <w:b/>
                <w:spacing w:val="-20"/>
                <w:sz w:val="28"/>
                <w:szCs w:val="28"/>
              </w:rPr>
            </w:pPr>
            <w:r>
              <w:rPr>
                <w:rFonts w:eastAsia="Times New Roman"/>
                <w:bCs/>
                <w:spacing w:val="-20"/>
                <w:sz w:val="28"/>
                <w:szCs w:val="28"/>
                <w:lang w:val="en-GB" w:eastAsia="en-GB" w:bidi="ar-SA"/>
              </w:rPr>
              <w:t xml:space="preserve"> </w:t>
            </w:r>
            <w:r>
              <w:rPr>
                <w:rFonts w:eastAsia="Times New Roman"/>
                <w:bCs/>
                <w:spacing w:val="-20"/>
                <w:sz w:val="28"/>
                <w:szCs w:val="28"/>
                <w:lang w:val="en-GB" w:eastAsia="en-GB" w:bidi="ar-SA"/>
              </w:rPr>
              <w:t xml:space="preserve">If you have concerns that a member of staff or other professional has behaved in a way that has harmed a child, committed a criminal offence against a child or poses a risk to a child and do not feel that the DSL or deputy DSL are taking appropriate action, or the concern relates to the DSL or deputy DSL, you must report this to the </w:t>
            </w:r>
            <w:r>
              <w:rPr>
                <w:rFonts w:eastAsia="Times New Roman"/>
                <w:b/>
                <w:spacing w:val="-20"/>
                <w:sz w:val="28"/>
                <w:szCs w:val="28"/>
                <w:lang w:val="en-GB" w:eastAsia="en-GB" w:bidi="ar-SA"/>
              </w:rPr>
              <w:t>LADO</w:t>
            </w:r>
            <w:r>
              <w:rPr>
                <w:rFonts w:eastAsia="Times New Roman"/>
                <w:bCs/>
                <w:spacing w:val="-20"/>
                <w:sz w:val="28"/>
                <w:szCs w:val="28"/>
                <w:lang w:val="en-GB" w:eastAsia="en-GB" w:bidi="ar-SA"/>
              </w:rPr>
              <w:t xml:space="preserve"> </w:t>
            </w:r>
          </w:p>
          <w:p>
            <w:pPr>
              <w:pStyle w:val="Normal"/>
              <w:keepLines/>
              <w:widowControl w:val="false"/>
              <w:spacing w:before="0" w:after="0"/>
              <w:jc w:val="both"/>
              <w:rPr>
                <w:b/>
                <w:b/>
                <w:spacing w:val="-20"/>
                <w:sz w:val="28"/>
                <w:szCs w:val="28"/>
              </w:rPr>
            </w:pPr>
            <w:r>
              <w:rPr>
                <w:rFonts w:eastAsia="Times New Roman"/>
                <w:bCs/>
                <w:spacing w:val="-20"/>
                <w:sz w:val="28"/>
                <w:szCs w:val="28"/>
                <w:lang w:val="en-GB" w:eastAsia="en-GB" w:bidi="ar-SA"/>
              </w:rPr>
              <w:t xml:space="preserve">(Local Authority Designated Officer) by email </w:t>
            </w:r>
            <w:hyperlink r:id="rId25">
              <w:r>
                <w:rPr>
                  <w:rStyle w:val="InternetLink"/>
                  <w:rFonts w:eastAsia="Times New Roman"/>
                  <w:bCs/>
                  <w:spacing w:val="-20"/>
                  <w:sz w:val="28"/>
                  <w:szCs w:val="28"/>
                  <w:lang w:val="en-GB" w:eastAsia="en-GB" w:bidi="ar-SA"/>
                </w:rPr>
                <w:t>LADO@norfolk.gov.uk</w:t>
              </w:r>
            </w:hyperlink>
            <w:r>
              <w:rPr>
                <w:rFonts w:eastAsia="Times New Roman"/>
                <w:bCs/>
                <w:spacing w:val="-20"/>
                <w:sz w:val="28"/>
                <w:szCs w:val="28"/>
                <w:lang w:val="en-GB" w:eastAsia="en-GB" w:bidi="ar-SA"/>
              </w:rPr>
              <w:t xml:space="preserve"> or via the central telephone number </w:t>
            </w:r>
            <w:r>
              <w:rPr>
                <w:rFonts w:eastAsia="Times New Roman"/>
                <w:b/>
                <w:spacing w:val="-20"/>
                <w:sz w:val="28"/>
                <w:szCs w:val="28"/>
                <w:lang w:val="en-GB" w:eastAsia="en-GB" w:bidi="ar-SA"/>
              </w:rPr>
              <w:t>01603 223473</w:t>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
                <w:spacing w:val="-20"/>
                <w:sz w:val="28"/>
                <w:szCs w:val="28"/>
                <w:lang w:val="en-GB" w:eastAsia="en-GB" w:bidi="ar-SA"/>
              </w:rPr>
              <w:t>Whistleblowing</w:t>
            </w:r>
          </w:p>
          <w:p>
            <w:pPr>
              <w:pStyle w:val="Normal"/>
              <w:keepLines/>
              <w:widowControl w:val="false"/>
              <w:spacing w:before="0" w:after="0"/>
              <w:jc w:val="both"/>
              <w:rPr>
                <w:bCs/>
                <w:spacing w:val="-20"/>
                <w:sz w:val="28"/>
                <w:szCs w:val="28"/>
              </w:rPr>
            </w:pPr>
            <w:r>
              <w:rPr>
                <w:rFonts w:eastAsia="Times New Roman"/>
                <w:bCs/>
                <w:spacing w:val="-20"/>
                <w:sz w:val="28"/>
                <w:szCs w:val="28"/>
                <w:lang w:val="en-GB" w:eastAsia="en-GB" w:bidi="ar-SA"/>
              </w:rPr>
              <w:t xml:space="preserve"> </w:t>
            </w:r>
            <w:r>
              <w:rPr>
                <w:rFonts w:eastAsia="Times New Roman"/>
                <w:bCs/>
                <w:spacing w:val="-20"/>
                <w:sz w:val="28"/>
                <w:szCs w:val="28"/>
                <w:lang w:val="en-GB" w:eastAsia="en-GB" w:bidi="ar-SA"/>
              </w:rPr>
              <w:t xml:space="preserve">If you have concerns or grievance about the organisation these must be referred to the manager or the Chair of the Board of Trustees. All allegations of harm must be report this to the </w:t>
            </w:r>
            <w:r>
              <w:rPr>
                <w:rFonts w:eastAsia="Times New Roman"/>
                <w:b/>
                <w:spacing w:val="-20"/>
                <w:sz w:val="28"/>
                <w:szCs w:val="28"/>
                <w:lang w:val="en-GB" w:eastAsia="en-GB" w:bidi="ar-SA"/>
              </w:rPr>
              <w:t>LADO</w:t>
            </w:r>
            <w:r>
              <w:rPr>
                <w:rFonts w:eastAsia="Times New Roman"/>
                <w:bCs/>
                <w:spacing w:val="-20"/>
                <w:sz w:val="28"/>
                <w:szCs w:val="28"/>
                <w:lang w:val="en-GB" w:eastAsia="en-GB" w:bidi="ar-SA"/>
              </w:rPr>
              <w:t xml:space="preserve"> (Local Authority Designated Officer) by email.</w:t>
            </w:r>
          </w:p>
          <w:p>
            <w:pPr>
              <w:pStyle w:val="Normal"/>
              <w:keepLines/>
              <w:widowControl w:val="false"/>
              <w:spacing w:before="0" w:after="0"/>
              <w:jc w:val="both"/>
              <w:rPr>
                <w:b/>
                <w:b/>
                <w:spacing w:val="-20"/>
                <w:sz w:val="36"/>
                <w:szCs w:val="36"/>
              </w:rPr>
            </w:pPr>
            <w:r>
              <w:rPr>
                <w:rFonts w:eastAsia="Times New Roman"/>
                <w:bCs/>
                <w:spacing w:val="-20"/>
                <w:sz w:val="28"/>
                <w:szCs w:val="28"/>
                <w:lang w:val="en-GB" w:eastAsia="en-GB" w:bidi="ar-SA"/>
              </w:rPr>
              <w:t xml:space="preserve"> </w:t>
            </w:r>
            <w:hyperlink r:id="rId26">
              <w:r>
                <w:rPr>
                  <w:rStyle w:val="InternetLink"/>
                  <w:rFonts w:eastAsia="Times New Roman"/>
                  <w:bCs/>
                  <w:spacing w:val="-20"/>
                  <w:sz w:val="28"/>
                  <w:szCs w:val="28"/>
                  <w:lang w:val="en-GB" w:eastAsia="en-GB" w:bidi="ar-SA"/>
                </w:rPr>
                <w:t>LADO@norfolk.gov.uk</w:t>
              </w:r>
            </w:hyperlink>
            <w:r>
              <w:rPr>
                <w:rFonts w:eastAsia="Times New Roman"/>
                <w:bCs/>
                <w:spacing w:val="-20"/>
                <w:sz w:val="28"/>
                <w:szCs w:val="28"/>
                <w:lang w:val="en-GB" w:eastAsia="en-GB" w:bidi="ar-SA"/>
              </w:rPr>
              <w:t xml:space="preserve">  or                </w:t>
            </w:r>
            <w:r>
              <w:rPr>
                <w:rFonts w:eastAsia="Times New Roman"/>
                <w:b/>
                <w:spacing w:val="-20"/>
                <w:sz w:val="28"/>
                <w:szCs w:val="28"/>
                <w:lang w:val="en-GB" w:eastAsia="en-GB" w:bidi="ar-SA"/>
              </w:rPr>
              <w:t>01603 223473</w:t>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bCs/>
                <w:spacing w:val="-20"/>
                <w:sz w:val="28"/>
                <w:szCs w:val="28"/>
              </w:rPr>
            </w:pPr>
            <w:r>
              <w:rPr>
                <w:rFonts w:eastAsia="Times New Roman"/>
                <w:b/>
                <w:bCs/>
                <w:spacing w:val="-20"/>
                <w:sz w:val="28"/>
                <w:szCs w:val="28"/>
                <w:lang w:val="en-GB" w:eastAsia="en-GB" w:bidi="ar-SA"/>
              </w:rPr>
              <w:t>Concerns about another setting</w:t>
            </w:r>
          </w:p>
          <w:p>
            <w:pPr>
              <w:pStyle w:val="Normal"/>
              <w:keepLines/>
              <w:widowControl w:val="false"/>
              <w:spacing w:before="0" w:after="0"/>
              <w:jc w:val="left"/>
              <w:rPr>
                <w:b/>
                <w:b/>
                <w:bCs/>
                <w:spacing w:val="-20"/>
                <w:sz w:val="28"/>
                <w:szCs w:val="28"/>
              </w:rPr>
            </w:pPr>
            <w:r>
              <w:rPr>
                <w:rFonts w:eastAsia="Times New Roman"/>
                <w:spacing w:val="-20"/>
                <w:sz w:val="28"/>
                <w:szCs w:val="28"/>
                <w:lang w:val="en-GB" w:eastAsia="en-GB" w:bidi="ar-SA"/>
              </w:rPr>
              <w:t>Contact</w:t>
            </w:r>
            <w:r>
              <w:rPr>
                <w:rFonts w:eastAsia="Times New Roman"/>
                <w:b/>
                <w:bCs/>
                <w:spacing w:val="-20"/>
                <w:sz w:val="28"/>
                <w:szCs w:val="28"/>
                <w:lang w:val="en-GB" w:eastAsia="en-GB" w:bidi="ar-SA"/>
              </w:rPr>
              <w:t xml:space="preserve"> Ofsted</w:t>
            </w:r>
          </w:p>
          <w:p>
            <w:pPr>
              <w:pStyle w:val="Normal"/>
              <w:keepLines/>
              <w:widowControl w:val="false"/>
              <w:spacing w:before="0" w:after="0"/>
              <w:jc w:val="left"/>
              <w:rPr>
                <w:bCs/>
                <w:spacing w:val="-20"/>
                <w:sz w:val="28"/>
                <w:szCs w:val="28"/>
                <w:u w:val="single"/>
              </w:rPr>
            </w:pPr>
            <w:hyperlink r:id="rId27">
              <w:r>
                <w:rPr>
                  <w:rStyle w:val="InternetLink"/>
                  <w:rFonts w:eastAsia="Times New Roman"/>
                  <w:bCs/>
                  <w:spacing w:val="-20"/>
                  <w:sz w:val="28"/>
                  <w:szCs w:val="28"/>
                  <w:lang w:val="en-GB" w:eastAsia="en-GB" w:bidi="ar-SA"/>
                </w:rPr>
                <w:t>https://www.gov.uk/government/organisations/ofsted/about/complaints-procedure</w:t>
              </w:r>
            </w:hyperlink>
            <w:r>
              <w:rPr>
                <w:rFonts w:eastAsia="Times New Roman"/>
                <w:bCs/>
                <w:spacing w:val="-20"/>
                <w:sz w:val="28"/>
                <w:szCs w:val="28"/>
                <w:u w:val="single"/>
                <w:lang w:val="en-GB" w:eastAsia="en-GB" w:bidi="ar-SA"/>
              </w:rPr>
              <w:t>.</w:t>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both"/>
              <w:rPr>
                <w:b/>
                <w:b/>
                <w:spacing w:val="-20"/>
                <w:sz w:val="28"/>
                <w:szCs w:val="28"/>
              </w:rPr>
            </w:pPr>
            <w:r>
              <w:rPr>
                <w:rFonts w:eastAsia="Times New Roman"/>
                <w:bCs/>
                <w:spacing w:val="-20"/>
                <w:sz w:val="28"/>
                <w:szCs w:val="28"/>
                <w:lang w:val="en-GB" w:eastAsia="en-GB" w:bidi="ar-SA"/>
              </w:rPr>
              <w:t xml:space="preserve">Email  </w:t>
            </w:r>
            <w:hyperlink r:id="rId28">
              <w:r>
                <w:rPr>
                  <w:rStyle w:val="InternetLink"/>
                  <w:rFonts w:eastAsia="Times New Roman"/>
                  <w:bCs/>
                  <w:spacing w:val="-20"/>
                  <w:sz w:val="28"/>
                  <w:szCs w:val="28"/>
                  <w:lang w:val="en-GB" w:eastAsia="en-GB" w:bidi="ar-SA"/>
                </w:rPr>
                <w:t>LADO@norfolk.gov.uk</w:t>
              </w:r>
            </w:hyperlink>
            <w:r>
              <w:rPr>
                <w:rFonts w:eastAsia="Times New Roman"/>
                <w:bCs/>
                <w:spacing w:val="-20"/>
                <w:sz w:val="28"/>
                <w:szCs w:val="28"/>
                <w:lang w:val="en-GB" w:eastAsia="en-GB" w:bidi="ar-SA"/>
              </w:rPr>
              <w:t xml:space="preserve"> or        </w:t>
            </w:r>
            <w:r>
              <w:rPr>
                <w:rFonts w:eastAsia="Times New Roman"/>
                <w:b/>
                <w:spacing w:val="-20"/>
                <w:sz w:val="28"/>
                <w:szCs w:val="28"/>
                <w:lang w:val="en-GB" w:eastAsia="en-GB" w:bidi="ar-SA"/>
              </w:rPr>
              <w:t>01603 22347</w:t>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p>
            <w:pPr>
              <w:pStyle w:val="Normal"/>
              <w:keepLines/>
              <w:widowControl w:val="false"/>
              <w:spacing w:before="0" w:after="0"/>
              <w:jc w:val="left"/>
              <w:rPr>
                <w:b/>
                <w:b/>
                <w:spacing w:val="-20"/>
                <w:sz w:val="28"/>
                <w:szCs w:val="28"/>
              </w:rPr>
            </w:pPr>
            <w:r>
              <w:rPr>
                <w:rFonts w:eastAsia="Times New Roman"/>
                <w:b/>
                <w:spacing w:val="-20"/>
                <w:sz w:val="28"/>
                <w:szCs w:val="28"/>
                <w:lang w:val="en-GB" w:eastAsia="en-GB" w:bidi="ar-SA"/>
              </w:rPr>
            </w:r>
          </w:p>
        </w:tc>
      </w:tr>
    </w:tbl>
    <w:p>
      <w:pPr>
        <w:pStyle w:val="Normal"/>
        <w:keepLines/>
        <w:tabs>
          <w:tab w:val="clear" w:pos="720"/>
          <w:tab w:val="left" w:pos="9084" w:leader="none"/>
        </w:tabs>
        <w:jc w:val="both"/>
        <w:rPr>
          <w:bCs/>
          <w:spacing w:val="-20"/>
          <w:sz w:val="28"/>
          <w:szCs w:val="28"/>
        </w:rPr>
      </w:pPr>
      <w:r>
        <w:rPr>
          <w:bCs/>
          <w:spacing w:val="-20"/>
          <w:sz w:val="28"/>
          <w:szCs w:val="28"/>
        </w:rPr>
        <w:t xml:space="preserve">  </w:t>
      </w:r>
    </w:p>
    <w:p>
      <w:pPr>
        <w:pStyle w:val="Normal"/>
        <w:jc w:val="both"/>
        <w:rPr>
          <w:rFonts w:ascii="Arial" w:hAnsi="Arial" w:cs="Arial"/>
          <w:b/>
          <w:b/>
          <w:bCs/>
          <w:sz w:val="24"/>
          <w:szCs w:val="24"/>
        </w:rPr>
      </w:pPr>
      <w:r>
        <w:rPr/>
      </w:r>
    </w:p>
    <w:sectPr>
      <w:headerReference w:type="default" r:id="rId29"/>
      <w:footerReference w:type="default" r:id="rId30"/>
      <w:type w:val="nextPage"/>
      <w:pgSz w:w="11906" w:h="16838"/>
      <w:pgMar w:left="720" w:right="720" w:header="709" w:top="766" w:footer="567" w:bottom="720" w:gutter="0"/>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Arial">
    <w:charset w:val="00"/>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t xml:space="preserve">2026-4-23  EOG      Safeguarding Policy &amp; Procedures                                                                                                                  </w:t>
    </w:r>
  </w:p>
  <w:p>
    <w:pPr>
      <w:pStyle w:val="Normal"/>
      <w:tabs>
        <w:tab w:val="clear" w:pos="720"/>
        <w:tab w:val="center" w:pos="4152" w:leader="none"/>
        <w:tab w:val="right" w:pos="8305" w:leader="none"/>
      </w:tabs>
      <w:rPr>
        <w:rFonts w:ascii="Arial" w:hAnsi="Arial" w:cs="Arial"/>
        <w:kern w:val="0"/>
        <w:sz w:val="24"/>
        <w:szCs w:val="24"/>
      </w:rPr>
    </w:pPr>
    <w:r>
      <w:rPr>
        <w:rFonts w:cs="Arial" w:ascii="Arial" w:hAnsi="Arial"/>
        <w:kern w:val="0"/>
        <w:sz w:val="24"/>
        <w:szCs w:val="24"/>
      </w:rPr>
    </w:r>
  </w:p>
  <w:p>
    <w:pPr>
      <w:pStyle w:val="Normal"/>
      <w:tabs>
        <w:tab w:val="clear" w:pos="720"/>
        <w:tab w:val="center" w:pos="4152" w:leader="none"/>
        <w:tab w:val="right" w:pos="8305" w:leader="none"/>
      </w:tabs>
      <w:rPr>
        <w:kern w:val="0"/>
      </w:rPr>
    </w:pPr>
    <w:r>
      <w:rPr>
        <w:kern w:val="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5610" w:leader="none"/>
        <w:tab w:val="right" w:pos="11220" w:leader="none"/>
      </w:tabs>
      <w:rPr>
        <w:kern w:val="0"/>
      </w:rPr>
    </w:pPr>
    <w:r>
      <w:rPr>
        <w:kern w:val="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decimal"/>
      <w:lvlText w:val="%1."/>
      <w:lvlJc w:val="left"/>
      <w:pPr>
        <w:tabs>
          <w:tab w:val="num" w:pos="0"/>
        </w:tabs>
        <w:ind w:left="1080" w:hanging="360"/>
      </w:p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lvl w:ilvl="0">
      <w:start w:val="1"/>
      <w:numFmt w:val="bullet"/>
      <w:lvlText w:val=""/>
      <w:lvlJc w:val="left"/>
      <w:pPr>
        <w:tabs>
          <w:tab w:val="num" w:pos="0"/>
        </w:tabs>
        <w:ind w:left="360" w:hanging="360"/>
      </w:pPr>
      <w:rPr>
        <w:rFonts w:ascii="Wingdings" w:hAnsi="Wingdings" w:cs="Wingdings" w:hint="default"/>
      </w:rPr>
    </w:lvl>
    <w:lvl w:ilvl="1">
      <w:start w:val="1"/>
      <w:numFmt w:val="decimal"/>
      <w:lvlText w:val="%2."/>
      <w:lvlJc w:val="left"/>
      <w:pPr>
        <w:tabs>
          <w:tab w:val="num" w:pos="0"/>
        </w:tabs>
        <w:ind w:left="1080" w:hanging="360"/>
      </w:p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SystemFonts/>
  <w:defaultTabStop w:val="72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overflowPunct w:val="true"/>
      <w:bidi w:val="0"/>
      <w:spacing w:before="0" w:after="0"/>
      <w:jc w:val="left"/>
    </w:pPr>
    <w:rPr>
      <w:rFonts w:cs="Calibri" w:ascii="Calibri" w:hAnsi="Calibri" w:eastAsia="Times New Roman"/>
      <w:color w:val="auto"/>
      <w:kern w:val="2"/>
      <w:sz w:val="22"/>
      <w:szCs w:val="22"/>
      <w:lang w:val="en-GB" w:eastAsia="en-GB" w:bidi="ar-SA"/>
    </w:rPr>
  </w:style>
  <w:style w:type="paragraph" w:styleId="Heading1">
    <w:name w:val="Heading 1"/>
    <w:basedOn w:val="Normal"/>
    <w:link w:val="Heading1Char"/>
    <w:uiPriority w:val="9"/>
    <w:qFormat/>
    <w:pPr>
      <w:widowControl/>
      <w:overflowPunct w:val="false"/>
      <w:spacing w:beforeAutospacing="1" w:afterAutospacing="1"/>
      <w:outlineLvl w:val="0"/>
    </w:pPr>
    <w:rPr>
      <w:rFonts w:ascii="Times New Roman" w:hAnsi="Times New Roman" w:cs="Times New Roman"/>
      <w:b/>
      <w:bCs/>
      <w:kern w:val="2"/>
      <w:sz w:val="48"/>
      <w:szCs w:val="48"/>
    </w:rPr>
  </w:style>
  <w:style w:type="paragraph" w:styleId="Heading3">
    <w:name w:val="Heading 3"/>
    <w:basedOn w:val="Normal"/>
    <w:next w:val="Normal"/>
    <w:link w:val="Heading3Char"/>
    <w:uiPriority w:val="9"/>
    <w:semiHidden/>
    <w:unhideWhenUsed/>
    <w:qFormat/>
    <w:pPr>
      <w:keepNext w:val="true"/>
      <w:keepLines/>
      <w:spacing w:before="40" w:after="0"/>
      <w:outlineLvl w:val="2"/>
    </w:pPr>
    <w:rPr>
      <w:rFonts w:ascii="Cambria" w:hAnsi="Cambria" w:eastAsia="宋体" w:cs="" w:asciiTheme="majorHAnsi" w:cstheme="majorBidi" w:eastAsiaTheme="majorEastAsia" w:hAnsiTheme="majorHAnsi"/>
      <w:color w:val="244061" w:themeColor="accent1" w:themeShade="80"/>
      <w:sz w:val="24"/>
      <w:szCs w:val="24"/>
    </w:rPr>
  </w:style>
  <w:style w:type="paragraph" w:styleId="Heading6">
    <w:name w:val="Heading 6"/>
    <w:basedOn w:val="Normal"/>
    <w:next w:val="Normal"/>
    <w:link w:val="Heading6Char"/>
    <w:uiPriority w:val="9"/>
    <w:semiHidden/>
    <w:unhideWhenUsed/>
    <w:qFormat/>
    <w:pPr>
      <w:keepNext w:val="true"/>
      <w:keepLines/>
      <w:spacing w:before="40" w:after="0"/>
      <w:outlineLvl w:val="5"/>
    </w:pPr>
    <w:rPr>
      <w:rFonts w:ascii="Cambria" w:hAnsi="Cambria" w:eastAsia="宋体" w:cs="" w:asciiTheme="majorHAnsi" w:cstheme="majorBidi" w:eastAsiaTheme="majorEastAsia" w:hAnsiTheme="majorHAnsi"/>
      <w:color w:val="244061" w:themeColor="accent1" w:themeShade="80"/>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Pr>
      <w:sz w:val="16"/>
      <w:szCs w:val="16"/>
    </w:rPr>
  </w:style>
  <w:style w:type="character" w:styleId="InternetLink">
    <w:name w:val="Hyperlink"/>
    <w:basedOn w:val="DefaultParagraphFont"/>
    <w:uiPriority w:val="99"/>
    <w:unhideWhenUsed/>
    <w:rPr>
      <w:color w:val="0000FF" w:themeColor="hyperlink"/>
      <w:u w:val="single"/>
    </w:rPr>
  </w:style>
  <w:style w:type="character" w:styleId="CommentTextChar" w:customStyle="1">
    <w:name w:val="Comment Text Char"/>
    <w:basedOn w:val="DefaultParagraphFont"/>
    <w:link w:val="CommentText"/>
    <w:uiPriority w:val="99"/>
    <w:semiHidden/>
    <w:qFormat/>
    <w:rPr>
      <w:rFonts w:cs="Calibri"/>
      <w:kern w:val="2"/>
    </w:rPr>
  </w:style>
  <w:style w:type="character" w:styleId="CommentSubjectChar" w:customStyle="1">
    <w:name w:val="Comment Subject Char"/>
    <w:basedOn w:val="CommentTextChar"/>
    <w:link w:val="CommentSubject"/>
    <w:uiPriority w:val="99"/>
    <w:semiHidden/>
    <w:qFormat/>
    <w:rPr>
      <w:rFonts w:cs="Calibri"/>
      <w:b/>
      <w:bCs/>
      <w:kern w:val="2"/>
    </w:rPr>
  </w:style>
  <w:style w:type="character" w:styleId="Heading1Char" w:customStyle="1">
    <w:name w:val="Heading 1 Char"/>
    <w:basedOn w:val="DefaultParagraphFont"/>
    <w:link w:val="Heading1"/>
    <w:uiPriority w:val="9"/>
    <w:qFormat/>
    <w:rPr>
      <w:rFonts w:ascii="Times New Roman" w:hAnsi="Times New Roman"/>
      <w:b/>
      <w:bCs/>
      <w:kern w:val="2"/>
      <w:sz w:val="48"/>
      <w:szCs w:val="48"/>
    </w:rPr>
  </w:style>
  <w:style w:type="character" w:styleId="UnresolvedMention1" w:customStyle="1">
    <w:name w:val="Unresolved Mention1"/>
    <w:basedOn w:val="DefaultParagraphFont"/>
    <w:uiPriority w:val="99"/>
    <w:semiHidden/>
    <w:unhideWhenUsed/>
    <w:qFormat/>
    <w:rPr>
      <w:color w:val="605E5C"/>
      <w:shd w:fill="E1DFDD" w:val="clear"/>
    </w:rPr>
  </w:style>
  <w:style w:type="character" w:styleId="Heading3Char" w:customStyle="1">
    <w:name w:val="Heading 3 Char"/>
    <w:basedOn w:val="DefaultParagraphFont"/>
    <w:link w:val="Heading3"/>
    <w:uiPriority w:val="9"/>
    <w:semiHidden/>
    <w:qFormat/>
    <w:rPr>
      <w:rFonts w:ascii="Cambria" w:hAnsi="Cambria" w:eastAsia="宋体" w:cs="" w:asciiTheme="majorHAnsi" w:cstheme="majorBidi" w:eastAsiaTheme="majorEastAsia" w:hAnsiTheme="majorHAnsi"/>
      <w:color w:val="244061" w:themeColor="accent1" w:themeShade="80"/>
      <w:kern w:val="2"/>
      <w:sz w:val="24"/>
      <w:szCs w:val="24"/>
    </w:rPr>
  </w:style>
  <w:style w:type="character" w:styleId="Heading6Char" w:customStyle="1">
    <w:name w:val="Heading 6 Char"/>
    <w:basedOn w:val="DefaultParagraphFont"/>
    <w:link w:val="Heading6"/>
    <w:uiPriority w:val="9"/>
    <w:semiHidden/>
    <w:qFormat/>
    <w:rPr>
      <w:rFonts w:ascii="Cambria" w:hAnsi="Cambria" w:eastAsia="宋体" w:cs="" w:asciiTheme="majorHAnsi" w:cstheme="majorBidi" w:eastAsiaTheme="majorEastAsia" w:hAnsiTheme="majorHAnsi"/>
      <w:color w:val="244061" w:themeColor="accent1" w:themeShade="80"/>
      <w:kern w:val="2"/>
      <w:sz w:val="22"/>
      <w:szCs w:val="22"/>
    </w:rPr>
  </w:style>
  <w:style w:type="character" w:styleId="BodyText3Char" w:customStyle="1">
    <w:name w:val="Body Text 3 Char"/>
    <w:basedOn w:val="DefaultParagraphFont"/>
    <w:link w:val="BodyText3"/>
    <w:uiPriority w:val="99"/>
    <w:qFormat/>
    <w:rPr>
      <w:rFonts w:ascii="Times New Roman" w:hAnsi="Times New Roman"/>
      <w:sz w:val="16"/>
      <w:szCs w:val="16"/>
      <w:lang w:eastAsia="en-US"/>
    </w:rPr>
  </w:style>
  <w:style w:type="character" w:styleId="BodyTextChar" w:customStyle="1">
    <w:name w:val="Body Text Char"/>
    <w:basedOn w:val="DefaultParagraphFont"/>
    <w:link w:val="BodyText"/>
    <w:uiPriority w:val="99"/>
    <w:qFormat/>
    <w:rPr>
      <w:rFonts w:ascii="Times New Roman" w:hAnsi="Times New Roman"/>
      <w:sz w:val="24"/>
      <w:szCs w:val="24"/>
      <w:lang w:eastAsia="en-US"/>
    </w:rPr>
  </w:style>
  <w:style w:type="character" w:styleId="FootnoteTextChar" w:customStyle="1">
    <w:name w:val="Footnote Text Char"/>
    <w:basedOn w:val="DefaultParagraphFont"/>
    <w:link w:val="FootnoteText"/>
    <w:uiPriority w:val="99"/>
    <w:qFormat/>
    <w:rPr>
      <w:rFonts w:ascii="Tahoma" w:hAnsi="Tahoma"/>
      <w:color w:val="000000"/>
      <w:lang w:eastAsia="en-US"/>
    </w:rPr>
  </w:style>
  <w:style w:type="character" w:styleId="HeaderChar" w:customStyle="1">
    <w:name w:val="Header Char"/>
    <w:basedOn w:val="DefaultParagraphFont"/>
    <w:link w:val="Header"/>
    <w:uiPriority w:val="99"/>
    <w:qFormat/>
    <w:rPr>
      <w:rFonts w:cs="Calibri"/>
      <w:kern w:val="2"/>
      <w:sz w:val="22"/>
      <w:szCs w:val="22"/>
    </w:rPr>
  </w:style>
  <w:style w:type="character" w:styleId="FooterChar" w:customStyle="1">
    <w:name w:val="Footer Char"/>
    <w:basedOn w:val="DefaultParagraphFont"/>
    <w:link w:val="Footer"/>
    <w:uiPriority w:val="99"/>
    <w:qFormat/>
    <w:rPr>
      <w:rFonts w:cs="Calibri"/>
      <w:kern w:val="2"/>
      <w:sz w:val="22"/>
      <w:szCs w:val="22"/>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link w:val="BodyTextChar"/>
    <w:uiPriority w:val="99"/>
    <w:unhideWhenUsed/>
    <w:qFormat/>
    <w:pPr>
      <w:widowControl/>
      <w:overflowPunct w:val="false"/>
      <w:spacing w:before="0" w:after="120"/>
    </w:pPr>
    <w:rPr>
      <w:rFonts w:ascii="Times New Roman" w:hAnsi="Times New Roman" w:cs="Times New Roman"/>
      <w:kern w:val="0"/>
      <w:sz w:val="24"/>
      <w:szCs w:val="24"/>
      <w:lang w:eastAsia="en-US"/>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odyText3">
    <w:name w:val="Body Text 3"/>
    <w:basedOn w:val="Normal"/>
    <w:link w:val="BodyText3Char"/>
    <w:uiPriority w:val="99"/>
    <w:unhideWhenUsed/>
    <w:qFormat/>
    <w:pPr>
      <w:widowControl/>
      <w:overflowPunct w:val="false"/>
      <w:spacing w:before="0" w:after="120"/>
    </w:pPr>
    <w:rPr>
      <w:rFonts w:ascii="Times New Roman" w:hAnsi="Times New Roman" w:cs="Times New Roman"/>
      <w:kern w:val="0"/>
      <w:sz w:val="16"/>
      <w:szCs w:val="16"/>
      <w:lang w:eastAsia="en-US"/>
    </w:rPr>
  </w:style>
  <w:style w:type="paragraph" w:styleId="Annotationtext">
    <w:name w:val="annotation text"/>
    <w:basedOn w:val="Normal"/>
    <w:link w:val="CommentTextChar"/>
    <w:uiPriority w:val="99"/>
    <w:semiHidden/>
    <w:unhideWhenUsed/>
    <w:qFormat/>
    <w:pPr/>
    <w:rPr>
      <w:sz w:val="20"/>
      <w:szCs w:val="20"/>
    </w:rPr>
  </w:style>
  <w:style w:type="paragraph" w:styleId="Annotationsubject">
    <w:name w:val="annotation subject"/>
    <w:basedOn w:val="Annotationtext"/>
    <w:next w:val="Annotationtext"/>
    <w:link w:val="CommentSubjectChar"/>
    <w:uiPriority w:val="99"/>
    <w:semiHidden/>
    <w:unhideWhenUsed/>
    <w:qFormat/>
    <w:pPr/>
    <w:rPr>
      <w:b/>
      <w:bCs/>
    </w:rPr>
  </w:style>
  <w:style w:type="paragraph" w:styleId="HeaderandFooter">
    <w:name w:val="Header and Footer"/>
    <w:basedOn w:val="Normal"/>
    <w:qFormat/>
    <w:pPr/>
    <w:rPr/>
  </w:style>
  <w:style w:type="paragraph" w:styleId="Footer">
    <w:name w:val="Footer"/>
    <w:basedOn w:val="Normal"/>
    <w:link w:val="FooterChar"/>
    <w:uiPriority w:val="99"/>
    <w:unhideWhenUsed/>
    <w:pPr>
      <w:tabs>
        <w:tab w:val="clear" w:pos="720"/>
        <w:tab w:val="center" w:pos="4513" w:leader="none"/>
        <w:tab w:val="right" w:pos="9026" w:leader="none"/>
      </w:tabs>
    </w:pPr>
    <w:rPr/>
  </w:style>
  <w:style w:type="paragraph" w:styleId="Footnote">
    <w:name w:val="Footnote Text"/>
    <w:basedOn w:val="Normal"/>
    <w:link w:val="FootnoteTextChar"/>
    <w:uiPriority w:val="99"/>
    <w:pPr>
      <w:widowControl/>
      <w:overflowPunct w:val="false"/>
    </w:pPr>
    <w:rPr>
      <w:rFonts w:ascii="Tahoma" w:hAnsi="Tahoma" w:cs="Times New Roman"/>
      <w:color w:val="000000"/>
      <w:kern w:val="0"/>
      <w:sz w:val="20"/>
      <w:szCs w:val="20"/>
      <w:lang w:eastAsia="en-US"/>
    </w:rPr>
  </w:style>
  <w:style w:type="paragraph" w:styleId="Header">
    <w:name w:val="Header"/>
    <w:basedOn w:val="Normal"/>
    <w:link w:val="HeaderChar"/>
    <w:uiPriority w:val="99"/>
    <w:unhideWhenUsed/>
    <w:pPr>
      <w:tabs>
        <w:tab w:val="clear" w:pos="720"/>
        <w:tab w:val="center" w:pos="4513" w:leader="none"/>
        <w:tab w:val="right" w:pos="9026" w:leader="none"/>
      </w:tabs>
    </w:pPr>
    <w:rPr/>
  </w:style>
  <w:style w:type="paragraph" w:styleId="NormalWeb">
    <w:name w:val="Normal (Web)"/>
    <w:basedOn w:val="Normal"/>
    <w:uiPriority w:val="99"/>
    <w:unhideWhenUsed/>
    <w:qFormat/>
    <w:pPr>
      <w:widowControl/>
      <w:overflowPunct w:val="false"/>
      <w:spacing w:beforeAutospacing="1" w:afterAutospacing="1"/>
    </w:pPr>
    <w:rPr>
      <w:rFonts w:ascii="Times New Roman" w:hAnsi="Times New Roman" w:cs="Times New Roman"/>
      <w:kern w:val="0"/>
      <w:sz w:val="24"/>
      <w:szCs w:val="24"/>
    </w:rPr>
  </w:style>
  <w:style w:type="paragraph" w:styleId="Revision1" w:customStyle="1">
    <w:name w:val="Revision1"/>
    <w:uiPriority w:val="99"/>
    <w:semiHidden/>
    <w:qFormat/>
    <w:pPr>
      <w:widowControl/>
      <w:bidi w:val="0"/>
      <w:spacing w:before="0" w:after="0"/>
      <w:jc w:val="left"/>
    </w:pPr>
    <w:rPr>
      <w:rFonts w:cs="Calibri" w:ascii="Calibri" w:hAnsi="Calibri" w:eastAsia="Times New Roman"/>
      <w:color w:val="auto"/>
      <w:kern w:val="2"/>
      <w:sz w:val="22"/>
      <w:szCs w:val="22"/>
      <w:lang w:val="en-GB" w:eastAsia="en-GB" w:bidi="ar-SA"/>
    </w:rPr>
  </w:style>
  <w:style w:type="paragraph" w:styleId="ListParagraph">
    <w:name w:val="List Paragraph"/>
    <w:basedOn w:val="Normal"/>
    <w:uiPriority w:val="34"/>
    <w:qFormat/>
    <w:pPr>
      <w:spacing w:before="0" w:after="0"/>
      <w:ind w:left="720" w:hanging="0"/>
      <w:contextualSpacing/>
    </w:pPr>
    <w:rPr/>
  </w:style>
  <w:style w:type="paragraph" w:styleId="ColorfulListAccent12" w:customStyle="1">
    <w:name w:val="Colorful List - Accent 12"/>
    <w:basedOn w:val="Normal"/>
    <w:uiPriority w:val="34"/>
    <w:qFormat/>
    <w:pPr>
      <w:widowControl/>
      <w:overflowPunct w:val="false"/>
      <w:spacing w:before="0" w:after="0"/>
      <w:ind w:left="720" w:hanging="0"/>
      <w:contextualSpacing/>
    </w:pPr>
    <w:rPr>
      <w:rFonts w:ascii="Arial" w:hAnsi="Arial" w:cs="Times New Roman"/>
      <w:kern w:val="0"/>
      <w:szCs w:val="24"/>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Light1">
    <w:name w:val="Table Grid Light1"/>
    <w:basedOn w:val="TableNormal"/>
    <w:uiPriority w:val="40"/>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customStyle="1" w:styleId="PlainTable21">
    <w:name w:val="Plain Table 21"/>
    <w:basedOn w:val="TableNormal"/>
    <w:uiPriority w:val="42"/>
    <w:tblPr>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eyeopportunitygroup@btconnect.com" TargetMode="External"/><Relationship Id="rId4" Type="http://schemas.openxmlformats.org/officeDocument/2006/relationships/hyperlink" Target="mailto:fgmhelp@nspcc.org.uk" TargetMode="External"/><Relationship Id="rId5" Type="http://schemas.openxmlformats.org/officeDocument/2006/relationships/hyperlink" Target="http://www.gov.uk/female-genital-mutilation" TargetMode="External"/><Relationship Id="rId6" Type="http://schemas.openxmlformats.org/officeDocument/2006/relationships/hyperlink" Target="http://www.gov.uk/government/publications/channel-and-prevent-multi-agency-panel-pmap-guidance" TargetMode="External"/><Relationship Id="rId7" Type="http://schemas.openxmlformats.org/officeDocument/2006/relationships/hyperlink" Target="http://www.gov.uk/government/publications/prevent-strategy-2011" TargetMode="External"/><Relationship Id="rId8" Type="http://schemas.openxmlformats.org/officeDocument/2006/relationships/hyperlink" Target="http://www.gov.uk/government/publications/protecting-children-from-radicalisation-the-prevent-duty" TargetMode="External"/><Relationship Id="rId9" Type="http://schemas.openxmlformats.org/officeDocument/2006/relationships/hyperlink" Target="mailto:fmu@fco.gov.uk" TargetMode="External"/><Relationship Id="rId10" Type="http://schemas.openxmlformats.org/officeDocument/2006/relationships/hyperlink" Target="mailto:fmuoutreach@fco.gov.uk" TargetMode="External"/><Relationship Id="rId11" Type="http://schemas.openxmlformats.org/officeDocument/2006/relationships/hyperlink" Target="https://assets.publishing.service.gov.uk/government/uploads/system/uploads/attachment_data/file/322307/HMG_MULTI_AGENCY_PRACTICE_GUIDELINES_v1_180614_FINAL.pdf" TargetMode="External"/><Relationship Id="rId12" Type="http://schemas.openxmlformats.org/officeDocument/2006/relationships/image" Target="media/image2.jpe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hyperlink" Target="https://www.suffolksp.org.uk/" TargetMode="External"/><Relationship Id="rId18" Type="http://schemas.openxmlformats.org/officeDocument/2006/relationships/image" Target="media/image7.png"/><Relationship Id="rId19" Type="http://schemas.openxmlformats.org/officeDocument/2006/relationships/hyperlink" Target="mailto:LADO@suffolk.gov.uk" TargetMode="External"/><Relationship Id="rId20" Type="http://schemas.openxmlformats.org/officeDocument/2006/relationships/hyperlink" Target="mailto:LADO@suffolk.gov.uk" TargetMode="External"/><Relationship Id="rId21" Type="http://schemas.openxmlformats.org/officeDocument/2006/relationships/hyperlink" Target="https://www.gov.uk/government/organisations/ofsted/about/complaints-procedure" TargetMode="External"/><Relationship Id="rId22" Type="http://schemas.openxmlformats.org/officeDocument/2006/relationships/hyperlink" Target="mailto:LADO@suffolk.gov.uk" TargetMode="External"/><Relationship Id="rId23" Type="http://schemas.openxmlformats.org/officeDocument/2006/relationships/image" Target="media/image8.jpeg"/><Relationship Id="rId24" Type="http://schemas.openxmlformats.org/officeDocument/2006/relationships/image" Target="media/image9.jpeg"/><Relationship Id="rId25" Type="http://schemas.openxmlformats.org/officeDocument/2006/relationships/hyperlink" Target="mailto:LADO@norfolk.gov.uk" TargetMode="External"/><Relationship Id="rId26" Type="http://schemas.openxmlformats.org/officeDocument/2006/relationships/hyperlink" Target="mailto:LADO@norfolk.gov.uk" TargetMode="External"/><Relationship Id="rId27" Type="http://schemas.openxmlformats.org/officeDocument/2006/relationships/hyperlink" Target="https://www.gov.uk/government/organisations/ofsted/about/complaints-procedure" TargetMode="External"/><Relationship Id="rId28" Type="http://schemas.openxmlformats.org/officeDocument/2006/relationships/hyperlink" Target="mailto:LADO@norfolk.gov.uk" TargetMode="Externa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Relationship Id="rId3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DCCBA-5A33-3849-8A59-A44BF1E6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LibreOffice/7.0.5.2$Windows_X86_64 LibreOffice_project/64390860c6cd0aca4beafafcfd84613dd9dfb63a</Application>
  <AppVersion>15.0000</AppVersion>
  <Pages>18</Pages>
  <Words>6571</Words>
  <Characters>35278</Characters>
  <CharactersWithSpaces>41637</CharactersWithSpaces>
  <Paragraphs>344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2026-07-05T17:39:00Z</dcterms:created>
  <dc:creator>Sanchia Brandreth</dc:creator>
  <dc:description/>
  <dc:language>en-GB</dc:language>
  <cp:lastModifiedBy>Sanchia Brandreth</cp:lastModifiedBy>
  <dcterms:modified xsi:type="dcterms:W3CDTF">2026-09-23T12:57:00Z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FF1D9DD8FA79457E9B89DA1BDF462849_13</vt:lpwstr>
  </property>
  <property fmtid="{D5CDD505-2E9C-101B-9397-08002B2CF9AE}" pid="3" name="KSOProductBuildVer">
    <vt:lpwstr>1033-12.2.0.23202</vt:lpwstr>
  </property>
  <property fmtid="{D5CDD505-2E9C-101B-9397-08002B2CF9AE}" pid="4" name="_DocHome">
    <vt:i4>439605948</vt:i4>
  </property>
</Properties>
</file>