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Calibri" w:hAnsi="Calibri" w:cs="Calibri" w:asciiTheme="minorHAnsi" w:cstheme="minorHAnsi" w:hAnsiTheme="minorHAnsi"/>
          <w:b/>
          <w:b/>
          <w:color w:val="174EA1"/>
          <w:sz w:val="44"/>
          <w:szCs w:val="44"/>
        </w:rPr>
      </w:pPr>
      <w:r>
        <w:drawing>
          <wp:anchor behindDoc="0" distT="0" distB="0" distL="0" distR="0" simplePos="0" locked="0" layoutInCell="0" allowOverlap="1" relativeHeight="2">
            <wp:simplePos x="0" y="0"/>
            <wp:positionH relativeFrom="column">
              <wp:posOffset>130175</wp:posOffset>
            </wp:positionH>
            <wp:positionV relativeFrom="paragraph">
              <wp:posOffset>11430</wp:posOffset>
            </wp:positionV>
            <wp:extent cx="660400" cy="721360"/>
            <wp:effectExtent l="0" t="0" r="0" b="0"/>
            <wp:wrapNone/>
            <wp:docPr id="1" name="Picture 2" descr="EYE%20OPP%20TRAIN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EYE%20OPP%20TRAINBLUE"/>
                    <pic:cNvPicPr>
                      <a:picLocks noChangeAspect="1" noChangeArrowheads="1"/>
                    </pic:cNvPicPr>
                  </pic:nvPicPr>
                  <pic:blipFill>
                    <a:blip r:embed="rId2"/>
                    <a:stretch>
                      <a:fillRect/>
                    </a:stretch>
                  </pic:blipFill>
                  <pic:spPr bwMode="auto">
                    <a:xfrm>
                      <a:off x="0" y="0"/>
                      <a:ext cx="660400" cy="721360"/>
                    </a:xfrm>
                    <a:prstGeom prst="rect">
                      <a:avLst/>
                    </a:prstGeom>
                  </pic:spPr>
                </pic:pic>
              </a:graphicData>
            </a:graphic>
          </wp:anchor>
        </w:drawing>
      </w:r>
      <w:r>
        <w:rPr>
          <w:rFonts w:cs="Calibri" w:cstheme="minorHAnsi"/>
          <w:b/>
          <w:color w:val="174EA1"/>
          <w:sz w:val="44"/>
          <w:szCs w:val="44"/>
        </w:rPr>
        <w:t>E</w:t>
      </w:r>
      <w:r>
        <w:rPr>
          <w:rFonts w:cs="Calibri" w:cstheme="minorHAnsi"/>
          <w:b/>
          <w:color w:val="174EA1"/>
          <w:sz w:val="44"/>
          <w:szCs w:val="44"/>
        </w:rPr>
        <w:t>YE OPPORTUNITY GROUP</w:t>
      </w:r>
    </w:p>
    <w:p>
      <w:pPr>
        <w:pStyle w:val="Normal"/>
        <w:jc w:val="center"/>
        <w:rPr>
          <w:rFonts w:ascii="Calibri" w:hAnsi="Calibri" w:cs="Calibri" w:asciiTheme="minorHAnsi" w:cstheme="minorHAnsi" w:hAnsiTheme="minorHAnsi"/>
          <w:b/>
          <w:b/>
          <w:color w:val="174EA1"/>
          <w:sz w:val="32"/>
          <w:szCs w:val="32"/>
        </w:rPr>
      </w:pPr>
      <w:r>
        <w:rPr>
          <w:rFonts w:cs="Calibri" w:cstheme="minorHAnsi"/>
          <w:b/>
          <w:color w:val="174EA1"/>
          <w:sz w:val="32"/>
          <w:szCs w:val="32"/>
        </w:rPr>
        <w:t>26 CASTLETON WAY, EYE, SUFFOLK IP23 7BH</w:t>
      </w:r>
    </w:p>
    <w:p>
      <w:pPr>
        <w:pStyle w:val="Normal"/>
        <w:jc w:val="center"/>
        <w:rPr>
          <w:rFonts w:ascii="Calibri" w:hAnsi="Calibri" w:cs="Calibri" w:asciiTheme="minorHAnsi" w:cstheme="minorHAnsi" w:hAnsiTheme="minorHAnsi"/>
          <w:b/>
          <w:b/>
          <w:color w:val="174EA1"/>
          <w:sz w:val="32"/>
          <w:szCs w:val="32"/>
        </w:rPr>
      </w:pPr>
      <w:r>
        <w:rPr>
          <w:rFonts w:cs="Calibri" w:cstheme="minorHAnsi"/>
          <w:b/>
          <w:color w:val="174EA1"/>
          <w:sz w:val="32"/>
          <w:szCs w:val="32"/>
        </w:rPr>
        <w:t>Tel: 01379 870975</w:t>
      </w:r>
    </w:p>
    <w:p>
      <w:pPr>
        <w:pStyle w:val="Normal"/>
        <w:jc w:val="center"/>
        <w:rPr>
          <w:rFonts w:ascii="Calibri" w:hAnsi="Calibri" w:cs="Calibri" w:asciiTheme="minorHAnsi" w:cstheme="minorHAnsi" w:hAnsiTheme="minorHAnsi"/>
          <w:b/>
          <w:b/>
          <w:color w:val="174EA1"/>
        </w:rPr>
      </w:pPr>
      <w:r>
        <w:rPr>
          <w:rFonts w:cs="Calibri" w:cstheme="minorHAnsi"/>
          <w:b/>
          <w:color w:val="174EA1"/>
        </w:rPr>
        <w:t xml:space="preserve">email: </w:t>
      </w:r>
      <w:hyperlink r:id="rId3">
        <w:r>
          <w:rPr>
            <w:rFonts w:cs="Calibri" w:cstheme="minorHAnsi"/>
            <w:b/>
            <w:color w:val="174EA1"/>
            <w:u w:val="single"/>
          </w:rPr>
          <w:t>eyeopportunitygroup@btconnect.com</w:t>
        </w:r>
      </w:hyperlink>
    </w:p>
    <w:p>
      <w:pPr>
        <w:pStyle w:val="Normal"/>
        <w:jc w:val="center"/>
        <w:rPr>
          <w:rFonts w:ascii="Arial" w:hAnsi="Arial" w:cs="Arial"/>
          <w:b/>
          <w:b/>
          <w:bCs/>
          <w:color w:val="174EA1"/>
          <w:sz w:val="28"/>
          <w:szCs w:val="28"/>
        </w:rPr>
      </w:pPr>
      <w:r>
        <w:rPr>
          <w:rFonts w:cs="Arial" w:ascii="Arial" w:hAnsi="Arial"/>
          <w:b/>
          <w:bCs/>
          <w:color w:val="174EA1"/>
          <w:sz w:val="28"/>
          <w:szCs w:val="28"/>
        </w:rPr>
      </w:r>
    </w:p>
    <w:p>
      <w:pPr>
        <w:pStyle w:val="Normal"/>
        <w:jc w:val="center"/>
        <w:rPr>
          <w:b/>
          <w:b/>
          <w:bCs/>
          <w:color w:val="174EA1"/>
        </w:rPr>
      </w:pPr>
      <w:r>
        <w:rPr>
          <w:b/>
          <w:bCs/>
          <w:color w:val="174EA1"/>
        </w:rPr>
        <w:t>Registered Charity Number 287907</w:t>
      </w:r>
    </w:p>
    <w:p>
      <w:pPr>
        <w:pStyle w:val="Normal"/>
        <w:jc w:val="center"/>
        <w:rPr>
          <w:rFonts w:ascii="Arial" w:hAnsi="Arial" w:cs="Arial"/>
          <w:b/>
          <w:b/>
          <w:bCs/>
          <w:color w:val="0000FF"/>
          <w:sz w:val="28"/>
          <w:szCs w:val="28"/>
        </w:rPr>
      </w:pPr>
      <w:r>
        <w:rPr>
          <w:rFonts w:cs="Arial" w:ascii="Arial" w:hAnsi="Arial"/>
          <w:b/>
          <w:bCs/>
          <w:color w:val="0000FF"/>
          <w:sz w:val="28"/>
          <w:szCs w:val="28"/>
        </w:rPr>
      </w:r>
    </w:p>
    <w:p>
      <w:pPr>
        <w:pStyle w:val="Normal"/>
        <w:jc w:val="center"/>
        <w:rPr>
          <w:rFonts w:ascii="Arial" w:hAnsi="Arial" w:cs="Arial"/>
          <w:b/>
          <w:b/>
          <w:bCs/>
          <w:color w:val="0000FF"/>
          <w:sz w:val="28"/>
          <w:szCs w:val="28"/>
        </w:rPr>
      </w:pPr>
      <w:r>
        <w:rPr>
          <w:rFonts w:cs="Arial" w:ascii="Arial" w:hAnsi="Arial"/>
          <w:b/>
          <w:bCs/>
          <w:color w:val="0000FF"/>
          <w:sz w:val="28"/>
          <w:szCs w:val="28"/>
        </w:rPr>
      </w:r>
    </w:p>
    <w:p>
      <w:pPr>
        <w:pStyle w:val="Normal"/>
        <w:jc w:val="center"/>
        <w:rPr>
          <w:rFonts w:ascii="Arial" w:hAnsi="Arial" w:cs="Arial"/>
          <w:b/>
          <w:b/>
          <w:bCs/>
          <w:sz w:val="32"/>
          <w:szCs w:val="32"/>
        </w:rPr>
      </w:pPr>
      <w:r>
        <w:rPr>
          <w:rFonts w:cs="Arial" w:ascii="Arial" w:hAnsi="Arial"/>
          <w:b/>
          <w:bCs/>
          <w:sz w:val="32"/>
          <w:szCs w:val="32"/>
        </w:rPr>
        <w:t>HEALTH AND SAFETY POLICY</w:t>
      </w:r>
    </w:p>
    <w:p>
      <w:pPr>
        <w:pStyle w:val="Normal"/>
        <w:ind w:left="850" w:hanging="0"/>
        <w:jc w:val="center"/>
        <w:rPr>
          <w:rFonts w:ascii="Arial" w:hAnsi="Arial" w:cs="Arial"/>
          <w:b/>
          <w:b/>
          <w:bCs/>
          <w:sz w:val="32"/>
          <w:szCs w:val="32"/>
        </w:rPr>
      </w:pPr>
      <w:r>
        <w:rPr>
          <w:rFonts w:cs="Arial" w:ascii="Arial" w:hAnsi="Arial"/>
          <w:b/>
          <w:bCs/>
          <w:sz w:val="32"/>
          <w:szCs w:val="32"/>
        </w:rPr>
      </w:r>
    </w:p>
    <w:p>
      <w:pPr>
        <w:pStyle w:val="Normal"/>
        <w:jc w:val="both"/>
        <w:rPr>
          <w:rFonts w:ascii="Arial" w:hAnsi="Arial" w:cs="Arial"/>
          <w:sz w:val="24"/>
          <w:szCs w:val="24"/>
        </w:rPr>
      </w:pPr>
      <w:r>
        <w:rPr>
          <w:rFonts w:cs="Arial" w:ascii="Arial" w:hAnsi="Arial"/>
          <w:sz w:val="24"/>
          <w:szCs w:val="24"/>
        </w:rPr>
      </w:r>
    </w:p>
    <w:p>
      <w:pPr>
        <w:pStyle w:val="ListParagraph"/>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General Statement of Policy</w:t>
      </w:r>
    </w:p>
    <w:p>
      <w:pPr>
        <w:pStyle w:val="Normal"/>
        <w:jc w:val="both"/>
        <w:rPr>
          <w:rFonts w:ascii="Arial" w:hAnsi="Arial" w:cs="Arial"/>
          <w:sz w:val="24"/>
          <w:szCs w:val="24"/>
        </w:rPr>
      </w:pPr>
      <w:r>
        <w:rPr>
          <w:rFonts w:cs="Arial" w:ascii="Arial" w:hAnsi="Arial"/>
          <w:sz w:val="24"/>
          <w:szCs w:val="24"/>
        </w:rPr>
        <w:t>Our policy is to provide and maintain a safe and healthy working environment, including conditions of work, equipment and systems of work for all our employees and to provide such information, training, instruction and supervision as required for their work activity.</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We also accept our responsibility for the health and safety of other people who may be affected by our activities.</w:t>
      </w:r>
    </w:p>
    <w:p>
      <w:pPr>
        <w:pStyle w:val="Normal"/>
        <w:rPr>
          <w:rFonts w:ascii="Arial" w:hAnsi="Arial" w:cs="Arial"/>
          <w:b/>
          <w:b/>
          <w:bCs/>
          <w:sz w:val="24"/>
          <w:szCs w:val="24"/>
        </w:rPr>
      </w:pPr>
      <w:r>
        <w:rPr>
          <w:rFonts w:cs="Arial" w:ascii="Arial" w:hAnsi="Arial"/>
          <w:b/>
          <w:bCs/>
          <w:sz w:val="24"/>
          <w:szCs w:val="24"/>
        </w:rPr>
      </w:r>
    </w:p>
    <w:p>
      <w:pPr>
        <w:pStyle w:val="ListParagraph"/>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Revision History</w:t>
      </w:r>
    </w:p>
    <w:p>
      <w:pPr>
        <w:pStyle w:val="Normal"/>
        <w:jc w:val="both"/>
        <w:rPr>
          <w:rFonts w:ascii="Arial" w:hAnsi="Arial" w:cs="Arial"/>
          <w:sz w:val="24"/>
          <w:szCs w:val="24"/>
        </w:rPr>
      </w:pPr>
      <w:r>
        <w:rPr>
          <w:rFonts w:cs="Arial" w:ascii="Arial" w:hAnsi="Arial"/>
          <w:sz w:val="24"/>
          <w:szCs w:val="24"/>
        </w:rPr>
        <w:t>This policy and related guidance will be monitored by the Management Committee on a regular basis for compliance and will be reviewed annually.</w:t>
      </w:r>
    </w:p>
    <w:p>
      <w:pPr>
        <w:pStyle w:val="Normal"/>
        <w:jc w:val="both"/>
        <w:rPr>
          <w:rFonts w:ascii="Arial" w:hAnsi="Arial" w:cs="Arial"/>
          <w:sz w:val="24"/>
          <w:szCs w:val="24"/>
        </w:rPr>
      </w:pPr>
      <w:r>
        <w:rPr>
          <w:rFonts w:cs="Arial" w:ascii="Arial" w:hAnsi="Arial"/>
          <w:sz w:val="24"/>
          <w:szCs w:val="24"/>
        </w:rPr>
      </w:r>
    </w:p>
    <w:tbl>
      <w:tblPr>
        <w:tblStyle w:val="TableGrid"/>
        <w:tblW w:w="8135"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3397"/>
        <w:gridCol w:w="4737"/>
      </w:tblGrid>
      <w:tr>
        <w:trPr>
          <w:trHeight w:val="548"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b/>
                <w:bCs/>
                <w:sz w:val="24"/>
                <w:szCs w:val="24"/>
                <w:lang w:val="en-GB" w:eastAsia="en-GB" w:bidi="ar-SA"/>
              </w:rPr>
              <w:t>Date approved or amended</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b/>
                <w:bCs/>
                <w:sz w:val="24"/>
                <w:szCs w:val="24"/>
                <w:lang w:val="en-GB" w:eastAsia="en-GB" w:bidi="ar-SA"/>
              </w:rPr>
              <w:t>Signed</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5 July 2018</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Rosie Mack</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11 September 2023</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Laura Chapman</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24 July 2024</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Laura Chapman</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26 June 2026</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Sanchia Brandreth</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bl>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p>
      <w:pPr>
        <w:pStyle w:val="Normal"/>
        <w:widowControl/>
        <w:overflowPunct w:val="false"/>
        <w:rPr>
          <w:rFonts w:ascii="Arial" w:hAnsi="Arial" w:cs="Arial"/>
          <w:b/>
          <w:b/>
          <w:bCs/>
          <w:sz w:val="24"/>
          <w:szCs w:val="24"/>
        </w:rPr>
      </w:pPr>
      <w:r>
        <w:rPr>
          <w:rFonts w:cs="Arial" w:ascii="Arial" w:hAnsi="Arial"/>
          <w:b/>
          <w:bCs/>
          <w:sz w:val="24"/>
          <w:szCs w:val="24"/>
        </w:rPr>
      </w:r>
      <w:r>
        <w:br w:type="page"/>
      </w:r>
    </w:p>
    <w:p>
      <w:pPr>
        <w:pStyle w:val="ListParagraph"/>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EOG’s Health and Safety Officers</w:t>
      </w:r>
    </w:p>
    <w:p>
      <w:pPr>
        <w:pStyle w:val="ListParagraph"/>
        <w:spacing w:before="0" w:after="120"/>
        <w:ind w:left="357" w:hanging="0"/>
        <w:contextualSpacing/>
        <w:jc w:val="both"/>
        <w:rPr>
          <w:rFonts w:ascii="Arial" w:hAnsi="Arial" w:cs="Arial"/>
          <w:b/>
          <w:b/>
          <w:bCs/>
          <w:sz w:val="12"/>
          <w:szCs w:val="12"/>
        </w:rPr>
      </w:pPr>
      <w:r>
        <w:rPr>
          <w:rFonts w:cs="Arial" w:ascii="Arial" w:hAnsi="Arial"/>
          <w:b/>
          <w:bCs/>
          <w:sz w:val="12"/>
          <w:szCs w:val="12"/>
        </w:rPr>
      </w:r>
    </w:p>
    <w:p>
      <w:pPr>
        <w:pStyle w:val="ListParagraph"/>
        <w:numPr>
          <w:ilvl w:val="0"/>
          <w:numId w:val="1"/>
        </w:numPr>
        <w:jc w:val="both"/>
        <w:rPr>
          <w:rFonts w:ascii="Arial" w:hAnsi="Arial" w:cs="Arial"/>
          <w:sz w:val="24"/>
          <w:szCs w:val="24"/>
        </w:rPr>
      </w:pPr>
      <w:r>
        <w:rPr>
          <w:rFonts w:cs="Arial" w:ascii="Arial" w:hAnsi="Arial"/>
          <w:sz w:val="24"/>
          <w:szCs w:val="24"/>
        </w:rPr>
        <w:t>Our Healthy and Safety Officer (a member of staff) who co-ordinates health and safety issues at EOG is:</w:t>
      </w:r>
    </w:p>
    <w:p>
      <w:pPr>
        <w:pStyle w:val="Normal"/>
        <w:jc w:val="center"/>
        <w:rPr>
          <w:rFonts w:ascii="Arial" w:hAnsi="Arial" w:cs="Arial"/>
          <w:b/>
          <w:b/>
          <w:bCs/>
          <w:sz w:val="24"/>
          <w:szCs w:val="24"/>
        </w:rPr>
      </w:pPr>
      <w:r>
        <w:rPr>
          <w:rFonts w:cs="Arial" w:ascii="Arial" w:hAnsi="Arial"/>
          <w:b/>
          <w:bCs/>
          <w:sz w:val="24"/>
          <w:szCs w:val="24"/>
        </w:rPr>
        <w:t>Sanchia Brandreth – Manager</w:t>
      </w:r>
    </w:p>
    <w:p>
      <w:pPr>
        <w:pStyle w:val="Normal"/>
        <w:jc w:val="both"/>
        <w:rPr>
          <w:rFonts w:ascii="Arial" w:hAnsi="Arial" w:cs="Arial"/>
          <w:b/>
          <w:b/>
          <w:bCs/>
          <w:sz w:val="24"/>
          <w:szCs w:val="24"/>
        </w:rPr>
      </w:pPr>
      <w:r>
        <w:rPr>
          <w:rFonts w:cs="Arial" w:ascii="Arial" w:hAnsi="Arial"/>
          <w:b/>
          <w:bCs/>
          <w:sz w:val="24"/>
          <w:szCs w:val="24"/>
        </w:rPr>
      </w:r>
    </w:p>
    <w:p>
      <w:pPr>
        <w:pStyle w:val="ListParagraph"/>
        <w:numPr>
          <w:ilvl w:val="0"/>
          <w:numId w:val="1"/>
        </w:numPr>
        <w:jc w:val="both"/>
        <w:rPr>
          <w:rFonts w:ascii="Arial" w:hAnsi="Arial" w:cs="Arial"/>
          <w:sz w:val="24"/>
          <w:szCs w:val="24"/>
        </w:rPr>
      </w:pPr>
      <w:r>
        <w:rPr>
          <w:rFonts w:cs="Arial" w:ascii="Arial" w:hAnsi="Arial"/>
          <w:sz w:val="24"/>
          <w:szCs w:val="24"/>
        </w:rPr>
        <w:t xml:space="preserve">When the setting is open, but the Health and Safety Officer is not available, the Play Leader, </w:t>
      </w:r>
      <w:r>
        <w:rPr>
          <w:rFonts w:cs="Arial" w:ascii="Arial" w:hAnsi="Arial"/>
          <w:b/>
          <w:bCs/>
          <w:sz w:val="24"/>
          <w:szCs w:val="24"/>
        </w:rPr>
        <w:t>Jane Last</w:t>
      </w:r>
      <w:r>
        <w:rPr>
          <w:rFonts w:cs="Arial" w:ascii="Arial" w:hAnsi="Arial"/>
          <w:sz w:val="24"/>
          <w:szCs w:val="24"/>
        </w:rPr>
        <w:t xml:space="preserve">, will be responsible for health and safety matters. </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1"/>
        </w:numPr>
        <w:jc w:val="both"/>
        <w:rPr>
          <w:rFonts w:ascii="Arial" w:hAnsi="Arial" w:cs="Arial"/>
          <w:sz w:val="24"/>
          <w:szCs w:val="24"/>
        </w:rPr>
      </w:pPr>
      <w:r>
        <w:rPr>
          <w:rFonts w:cs="Arial" w:ascii="Arial" w:hAnsi="Arial"/>
          <w:sz w:val="24"/>
          <w:szCs w:val="24"/>
        </w:rPr>
        <w:t>Our Health and Safety Officer on the Trustee Board who oversees this work is:</w:t>
      </w:r>
    </w:p>
    <w:p>
      <w:pPr>
        <w:pStyle w:val="Normal"/>
        <w:jc w:val="center"/>
        <w:rPr>
          <w:rFonts w:ascii="Arial" w:hAnsi="Arial" w:cs="Arial"/>
          <w:b/>
          <w:b/>
          <w:bCs/>
          <w:sz w:val="24"/>
          <w:szCs w:val="24"/>
        </w:rPr>
      </w:pPr>
      <w:r>
        <w:rPr>
          <w:rFonts w:cs="Arial" w:ascii="Arial" w:hAnsi="Arial"/>
          <w:b/>
          <w:bCs/>
          <w:sz w:val="24"/>
          <w:szCs w:val="24"/>
        </w:rPr>
      </w:r>
    </w:p>
    <w:p>
      <w:pPr>
        <w:pStyle w:val="Normal"/>
        <w:jc w:val="center"/>
        <w:rPr>
          <w:rFonts w:ascii="Arial" w:hAnsi="Arial" w:cs="Arial"/>
          <w:b/>
          <w:b/>
          <w:bCs/>
          <w:sz w:val="24"/>
          <w:szCs w:val="24"/>
        </w:rPr>
      </w:pPr>
      <w:r>
        <w:rPr>
          <w:rFonts w:cs="Arial" w:ascii="Arial" w:hAnsi="Arial"/>
          <w:b/>
          <w:bCs/>
          <w:sz w:val="24"/>
          <w:szCs w:val="24"/>
        </w:rPr>
        <w:t>Alison Carter – Safeguarding Lead on the Committee</w:t>
      </w:r>
    </w:p>
    <w:p>
      <w:pPr>
        <w:pStyle w:val="Normal"/>
        <w:jc w:val="both"/>
        <w:rPr>
          <w:rFonts w:ascii="Arial" w:hAnsi="Arial" w:cs="Arial"/>
          <w:sz w:val="24"/>
          <w:szCs w:val="24"/>
        </w:rPr>
      </w:pPr>
      <w:r>
        <w:rPr>
          <w:rFonts w:cs="Arial" w:ascii="Arial" w:hAnsi="Arial"/>
          <w:sz w:val="24"/>
          <w:szCs w:val="24"/>
        </w:rPr>
      </w:r>
    </w:p>
    <w:p>
      <w:pPr>
        <w:pStyle w:val="ListParagraph"/>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Responsibility for Safety in the Building</w:t>
      </w:r>
    </w:p>
    <w:p>
      <w:pPr>
        <w:pStyle w:val="Normal"/>
        <w:widowControl/>
        <w:overflowPunct w:val="false"/>
        <w:jc w:val="both"/>
        <w:rPr>
          <w:rFonts w:ascii="Arial" w:hAnsi="Arial" w:cs="Arial"/>
          <w:sz w:val="24"/>
          <w:szCs w:val="24"/>
        </w:rPr>
      </w:pPr>
      <w:r>
        <w:rPr>
          <w:rFonts w:cs="Arial" w:ascii="Arial" w:hAnsi="Arial"/>
          <w:sz w:val="24"/>
          <w:szCs w:val="24"/>
        </w:rPr>
        <w:t>The building is divided into an upstairs area for staff use, a downstairs area which the children access, and a garden, which the children also access.  The following individuals are responsible for overseeing these areas as below:</w:t>
      </w:r>
    </w:p>
    <w:p>
      <w:pPr>
        <w:pStyle w:val="Normal"/>
        <w:widowControl/>
        <w:overflowPunct w:val="false"/>
        <w:jc w:val="both"/>
        <w:rPr>
          <w:rFonts w:ascii="Arial" w:hAnsi="Arial" w:cs="Arial"/>
          <w:b/>
          <w:b/>
          <w:bCs/>
          <w:sz w:val="24"/>
          <w:szCs w:val="24"/>
        </w:rPr>
      </w:pPr>
      <w:r>
        <w:rPr>
          <w:rFonts w:cs="Arial" w:ascii="Arial" w:hAnsi="Arial"/>
          <w:b/>
          <w:bCs/>
          <w:sz w:val="24"/>
          <w:szCs w:val="24"/>
        </w:rPr>
      </w:r>
    </w:p>
    <w:tbl>
      <w:tblPr>
        <w:tblStyle w:val="TableGrid"/>
        <w:tblW w:w="8135"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3397"/>
        <w:gridCol w:w="4737"/>
      </w:tblGrid>
      <w:tr>
        <w:trPr>
          <w:trHeight w:val="548"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b/>
                <w:bCs/>
                <w:sz w:val="24"/>
                <w:szCs w:val="24"/>
                <w:lang w:val="en-GB" w:eastAsia="en-GB" w:bidi="ar-SA"/>
              </w:rPr>
              <w:t>Area</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b/>
                <w:bCs/>
                <w:sz w:val="24"/>
                <w:szCs w:val="24"/>
                <w:lang w:val="en-GB" w:eastAsia="en-GB" w:bidi="ar-SA"/>
              </w:rPr>
              <w:t xml:space="preserve">Person Responsible </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Upstairs area</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Sanchia Brandreth</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Downstairs area</w:t>
            </w:r>
          </w:p>
        </w:tc>
        <w:tc>
          <w:tcPr>
            <w:tcW w:w="4737" w:type="dxa"/>
            <w:tcBorders/>
          </w:tcPr>
          <w:p>
            <w:pPr>
              <w:pStyle w:val="Normal"/>
              <w:widowControl w:val="false"/>
              <w:overflowPunct w:val="false"/>
              <w:spacing w:before="0" w:after="0"/>
              <w:jc w:val="both"/>
              <w:rPr>
                <w:rFonts w:ascii="Arial" w:hAnsi="Arial" w:cs="Arial"/>
                <w:sz w:val="24"/>
                <w:szCs w:val="24"/>
              </w:rPr>
            </w:pPr>
            <w:r>
              <w:rPr>
                <w:rFonts w:eastAsia="Times New Roman" w:cs="Arial" w:ascii="Arial" w:hAnsi="Arial"/>
                <w:sz w:val="24"/>
                <w:szCs w:val="24"/>
                <w:lang w:val="en-GB" w:eastAsia="en-GB" w:bidi="ar-SA"/>
              </w:rPr>
              <w:t>Jane Last</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Garden</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Jane Last</w:t>
            </w:r>
          </w:p>
        </w:tc>
      </w:tr>
    </w:tbl>
    <w:p>
      <w:pPr>
        <w:pStyle w:val="Normal"/>
        <w:widowControl/>
        <w:overflowPunct w:val="false"/>
        <w:jc w:val="both"/>
        <w:rPr>
          <w:rFonts w:ascii="Arial" w:hAnsi="Arial" w:cs="Arial"/>
          <w:b/>
          <w:b/>
          <w:bCs/>
          <w:sz w:val="24"/>
          <w:szCs w:val="24"/>
        </w:rPr>
      </w:pPr>
      <w:r>
        <w:rPr>
          <w:rFonts w:cs="Arial" w:ascii="Arial" w:hAnsi="Arial"/>
          <w:b/>
          <w:bCs/>
          <w:sz w:val="24"/>
          <w:szCs w:val="24"/>
        </w:rPr>
      </w:r>
    </w:p>
    <w:p>
      <w:pPr>
        <w:pStyle w:val="ListParagraph"/>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Responsibility of Employees</w:t>
      </w:r>
    </w:p>
    <w:p>
      <w:pPr>
        <w:pStyle w:val="Normal"/>
        <w:jc w:val="both"/>
        <w:rPr>
          <w:rFonts w:ascii="Arial" w:hAnsi="Arial" w:cs="Arial"/>
          <w:sz w:val="24"/>
          <w:szCs w:val="24"/>
        </w:rPr>
      </w:pPr>
      <w:r>
        <w:rPr>
          <w:rFonts w:cs="Arial" w:ascii="Arial" w:hAnsi="Arial"/>
          <w:sz w:val="24"/>
          <w:szCs w:val="24"/>
        </w:rPr>
        <w:t>Whenever an employee notices a health and safety problem which they are not able to put right, they must immediately inform the responsible person, as named above.  This should be done verbally, unless it is a less urgent issue, in which case the employee could send the relevant party an email.</w:t>
      </w:r>
    </w:p>
    <w:p>
      <w:pPr>
        <w:pStyle w:val="Normal"/>
        <w:jc w:val="both"/>
        <w:rPr>
          <w:rFonts w:ascii="Arial" w:hAnsi="Arial" w:cs="Arial"/>
          <w:sz w:val="24"/>
          <w:szCs w:val="24"/>
        </w:rPr>
      </w:pPr>
      <w:r>
        <w:rPr>
          <w:rFonts w:cs="Arial" w:ascii="Arial" w:hAnsi="Arial"/>
          <w:sz w:val="24"/>
          <w:szCs w:val="24"/>
        </w:rPr>
      </w:r>
    </w:p>
    <w:p>
      <w:pPr>
        <w:pStyle w:val="ListParagraph"/>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Accidents and First Aid</w:t>
      </w:r>
    </w:p>
    <w:p>
      <w:pPr>
        <w:pStyle w:val="ListParagraph"/>
        <w:ind w:left="357" w:hanging="0"/>
        <w:jc w:val="both"/>
        <w:rPr>
          <w:rFonts w:ascii="Arial" w:hAnsi="Arial" w:cs="Arial"/>
          <w:b/>
          <w:b/>
          <w:bCs/>
          <w:sz w:val="24"/>
          <w:szCs w:val="24"/>
        </w:rPr>
      </w:pPr>
      <w:r>
        <w:rPr>
          <w:rFonts w:cs="Arial" w:ascii="Arial" w:hAnsi="Arial"/>
          <w:b/>
          <w:bCs/>
          <w:sz w:val="24"/>
          <w:szCs w:val="24"/>
        </w:rPr>
      </w:r>
    </w:p>
    <w:p>
      <w:pPr>
        <w:pStyle w:val="Normal"/>
        <w:pBdr>
          <w:top w:val="single" w:sz="4" w:space="1" w:color="000000"/>
          <w:left w:val="single" w:sz="4" w:space="4" w:color="000000"/>
          <w:bottom w:val="single" w:sz="4" w:space="1" w:color="000000"/>
          <w:right w:val="single" w:sz="4" w:space="4" w:color="000000"/>
        </w:pBdr>
        <w:jc w:val="center"/>
        <w:rPr>
          <w:rFonts w:ascii="Arial" w:hAnsi="Arial" w:cs="Arial"/>
          <w:sz w:val="24"/>
          <w:szCs w:val="24"/>
        </w:rPr>
      </w:pPr>
      <w:r>
        <w:rPr>
          <w:rFonts w:cs="Arial" w:ascii="Arial" w:hAnsi="Arial"/>
          <w:sz w:val="24"/>
          <w:szCs w:val="24"/>
        </w:rPr>
      </w:r>
    </w:p>
    <w:p>
      <w:pPr>
        <w:pStyle w:val="Normal"/>
        <w:pBdr>
          <w:top w:val="single" w:sz="4" w:space="1" w:color="000000"/>
          <w:left w:val="single" w:sz="4" w:space="4" w:color="000000"/>
          <w:bottom w:val="single" w:sz="4" w:space="1" w:color="000000"/>
          <w:right w:val="single" w:sz="4" w:space="4" w:color="000000"/>
        </w:pBdr>
        <w:jc w:val="center"/>
        <w:rPr>
          <w:rFonts w:ascii="Arial" w:hAnsi="Arial" w:cs="Arial"/>
          <w:sz w:val="24"/>
          <w:szCs w:val="24"/>
        </w:rPr>
      </w:pPr>
      <w:r>
        <w:rPr>
          <w:rFonts w:cs="Arial" w:ascii="Arial" w:hAnsi="Arial"/>
          <w:sz w:val="24"/>
          <w:szCs w:val="24"/>
        </w:rPr>
        <w:t xml:space="preserve">The </w:t>
      </w:r>
      <w:r>
        <w:rPr>
          <w:rFonts w:cs="Arial" w:ascii="Arial" w:hAnsi="Arial"/>
          <w:b/>
          <w:bCs/>
          <w:sz w:val="24"/>
          <w:szCs w:val="24"/>
        </w:rPr>
        <w:t>First Aid Box</w:t>
      </w:r>
      <w:r>
        <w:rPr>
          <w:rFonts w:cs="Arial" w:ascii="Arial" w:hAnsi="Arial"/>
          <w:sz w:val="24"/>
          <w:szCs w:val="24"/>
        </w:rPr>
        <w:t xml:space="preserve"> is located in the kitchen, on the wall to the right of the back door</w:t>
      </w:r>
    </w:p>
    <w:p>
      <w:pPr>
        <w:pStyle w:val="Normal"/>
        <w:pBdr>
          <w:top w:val="single" w:sz="4" w:space="1" w:color="000000"/>
          <w:left w:val="single" w:sz="4" w:space="4" w:color="000000"/>
          <w:bottom w:val="single" w:sz="4" w:space="1" w:color="000000"/>
          <w:right w:val="single" w:sz="4" w:space="4" w:color="000000"/>
        </w:pBdr>
        <w:jc w:val="center"/>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b/>
          <w:bCs/>
          <w:sz w:val="24"/>
          <w:szCs w:val="24"/>
        </w:rPr>
        <w:t>Jane Last</w:t>
      </w:r>
      <w:r>
        <w:rPr>
          <w:rFonts w:cs="Arial" w:ascii="Arial" w:hAnsi="Arial"/>
          <w:sz w:val="24"/>
          <w:szCs w:val="24"/>
        </w:rPr>
        <w:t xml:space="preserve"> is the appointed person responsible for monitoring the contents of the First Aid Box.</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 xml:space="preserve">The </w:t>
      </w:r>
      <w:r>
        <w:rPr>
          <w:rFonts w:cs="Arial" w:ascii="Arial" w:hAnsi="Arial"/>
          <w:b/>
          <w:bCs/>
          <w:sz w:val="24"/>
          <w:szCs w:val="24"/>
        </w:rPr>
        <w:t>Chairperson of the Trustee Board</w:t>
      </w:r>
      <w:r>
        <w:rPr>
          <w:rFonts w:cs="Arial" w:ascii="Arial" w:hAnsi="Arial"/>
          <w:sz w:val="24"/>
          <w:szCs w:val="24"/>
        </w:rPr>
        <w:t>, is responsible for reporting injuries, diseases and dangerous occurrences on RIDDOR form (F2508).</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 xml:space="preserve">The </w:t>
      </w:r>
      <w:r>
        <w:rPr>
          <w:rFonts w:cs="Arial" w:ascii="Arial" w:hAnsi="Arial"/>
          <w:b/>
          <w:bCs/>
          <w:sz w:val="24"/>
          <w:szCs w:val="24"/>
        </w:rPr>
        <w:t>Accident Book</w:t>
      </w:r>
      <w:r>
        <w:rPr>
          <w:rFonts w:cs="Arial" w:ascii="Arial" w:hAnsi="Arial"/>
          <w:sz w:val="24"/>
          <w:szCs w:val="24"/>
        </w:rPr>
        <w:t xml:space="preserve"> is located in the snack room, on the shelf.</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The following members of staff are qualified first aiders:</w:t>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jc w:val="both"/>
        <w:rPr>
          <w:rFonts w:ascii="Arial" w:hAnsi="Arial" w:cs="Arial"/>
          <w:sz w:val="24"/>
          <w:szCs w:val="24"/>
        </w:rPr>
      </w:pPr>
      <w:r>
        <w:rPr>
          <w:rFonts w:cs="Arial" w:ascii="Arial" w:hAnsi="Arial"/>
          <w:sz w:val="24"/>
          <w:szCs w:val="24"/>
        </w:rPr>
        <w:t>Jane Last</w:t>
      </w:r>
    </w:p>
    <w:p>
      <w:pPr>
        <w:pStyle w:val="ListParagraph"/>
        <w:numPr>
          <w:ilvl w:val="0"/>
          <w:numId w:val="1"/>
        </w:numPr>
        <w:jc w:val="both"/>
        <w:rPr>
          <w:rFonts w:ascii="Arial" w:hAnsi="Arial" w:cs="Arial"/>
          <w:sz w:val="24"/>
          <w:szCs w:val="24"/>
        </w:rPr>
      </w:pPr>
      <w:r>
        <w:rPr>
          <w:rFonts w:cs="Arial" w:ascii="Arial" w:hAnsi="Arial"/>
          <w:sz w:val="24"/>
          <w:szCs w:val="24"/>
        </w:rPr>
        <w:t>Gill Mossop</w:t>
      </w:r>
    </w:p>
    <w:p>
      <w:pPr>
        <w:pStyle w:val="ListParagraph"/>
        <w:numPr>
          <w:ilvl w:val="0"/>
          <w:numId w:val="1"/>
        </w:numPr>
        <w:jc w:val="both"/>
        <w:rPr>
          <w:rFonts w:ascii="Arial" w:hAnsi="Arial" w:cs="Arial"/>
          <w:sz w:val="24"/>
          <w:szCs w:val="24"/>
        </w:rPr>
      </w:pPr>
      <w:r>
        <w:rPr>
          <w:rFonts w:cs="Arial" w:ascii="Arial" w:hAnsi="Arial"/>
          <w:sz w:val="24"/>
          <w:szCs w:val="24"/>
        </w:rPr>
        <w:t>Jayne Havis</w:t>
      </w:r>
    </w:p>
    <w:p>
      <w:pPr>
        <w:pStyle w:val="ListParagraph"/>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General Fire Safety</w:t>
      </w:r>
    </w:p>
    <w:p>
      <w:pPr>
        <w:pStyle w:val="Normal"/>
        <w:jc w:val="both"/>
        <w:rPr>
          <w:rFonts w:ascii="Arial" w:hAnsi="Arial" w:cs="Arial"/>
          <w:sz w:val="24"/>
          <w:szCs w:val="24"/>
        </w:rPr>
      </w:pPr>
      <w:r>
        <w:rPr>
          <w:rFonts w:cs="Arial" w:ascii="Arial" w:hAnsi="Arial"/>
          <w:sz w:val="24"/>
          <w:szCs w:val="24"/>
        </w:rPr>
        <w:t>In case of emergency, including fire, the EOG Fire Safety Evacuation Procedure should be followed.</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b/>
          <w:bCs/>
          <w:sz w:val="24"/>
          <w:szCs w:val="24"/>
        </w:rPr>
        <w:t>Jane Last</w:t>
      </w:r>
      <w:r>
        <w:rPr>
          <w:rFonts w:cs="Arial" w:ascii="Arial" w:hAnsi="Arial"/>
          <w:sz w:val="24"/>
          <w:szCs w:val="24"/>
        </w:rPr>
        <w:t xml:space="preserve"> is responsible for maintaining access to emergency exits.  This is monitored daily when the setting is open, and the emergency lighting is checked on a monthly basis.</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 xml:space="preserve">The landlord of the premises, </w:t>
      </w:r>
      <w:r>
        <w:rPr>
          <w:rFonts w:cs="Arial" w:ascii="Arial" w:hAnsi="Arial"/>
          <w:b/>
          <w:bCs/>
          <w:sz w:val="24"/>
          <w:szCs w:val="24"/>
        </w:rPr>
        <w:t>NHS Property Services</w:t>
      </w:r>
      <w:r>
        <w:rPr>
          <w:rFonts w:cs="Arial" w:ascii="Arial" w:hAnsi="Arial"/>
          <w:sz w:val="24"/>
          <w:szCs w:val="24"/>
        </w:rPr>
        <w:t>, is responsible for the provision and maintenance of fire extinguishers and the fire blanket which is located in the kitchen area.</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b/>
          <w:bCs/>
          <w:sz w:val="24"/>
          <w:szCs w:val="24"/>
        </w:rPr>
        <w:t>Jane Last</w:t>
      </w:r>
      <w:r>
        <w:rPr>
          <w:rFonts w:cs="Arial" w:ascii="Arial" w:hAnsi="Arial"/>
          <w:sz w:val="24"/>
          <w:szCs w:val="24"/>
        </w:rPr>
        <w:t xml:space="preserve"> and </w:t>
      </w:r>
      <w:r>
        <w:rPr>
          <w:rFonts w:cs="Arial" w:ascii="Arial" w:hAnsi="Arial"/>
          <w:b/>
          <w:bCs/>
          <w:sz w:val="24"/>
          <w:szCs w:val="24"/>
        </w:rPr>
        <w:t>Sanchia Brandreth</w:t>
      </w:r>
      <w:r>
        <w:rPr>
          <w:rFonts w:cs="Arial" w:ascii="Arial" w:hAnsi="Arial"/>
          <w:sz w:val="24"/>
          <w:szCs w:val="24"/>
        </w:rPr>
        <w:t xml:space="preserve"> are responsible for checking the fire alarms.  The fire alarms are tested on a weekly basis.  Fire alarm tests are recorded in the log book.</w:t>
      </w:r>
    </w:p>
    <w:p>
      <w:pPr>
        <w:pStyle w:val="Normal"/>
        <w:jc w:val="both"/>
        <w:rPr>
          <w:rFonts w:ascii="Arial" w:hAnsi="Arial" w:cs="Arial"/>
          <w:sz w:val="24"/>
          <w:szCs w:val="24"/>
        </w:rPr>
      </w:pPr>
      <w:r>
        <w:rPr>
          <w:rFonts w:cs="Arial" w:ascii="Arial" w:hAnsi="Arial"/>
          <w:sz w:val="24"/>
          <w:szCs w:val="24"/>
        </w:rPr>
      </w:r>
    </w:p>
    <w:p>
      <w:pPr>
        <w:pStyle w:val="ListParagraph"/>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Advice and Consultancy</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overflowPunct w:val="false"/>
        <w:rPr>
          <w:rFonts w:ascii="Helvetica" w:hAnsi="Helvetica" w:cs="Helvetica"/>
          <w:kern w:val="0"/>
          <w:sz w:val="24"/>
          <w:szCs w:val="24"/>
        </w:rPr>
      </w:pPr>
      <w:r>
        <w:rPr>
          <w:rFonts w:cs="Helvetica" w:ascii="Helvetica" w:hAnsi="Helvetica"/>
          <w:kern w:val="0"/>
          <w:sz w:val="24"/>
          <w:szCs w:val="24"/>
        </w:rPr>
        <w:t>Local Inspector's office &amp; telephone number: Babergh and Mid Suffolk District Councils, Endeavour House, 8 Russell Road, Ipswich, IP1 2BX, Tel: 0300 1234000</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overflowPunct w:val="false"/>
        <w:rPr>
          <w:rFonts w:ascii="Helvetica" w:hAnsi="Helvetica" w:cs="Helvetica"/>
          <w:kern w:val="0"/>
          <w:sz w:val="24"/>
          <w:szCs w:val="24"/>
        </w:rPr>
      </w:pPr>
      <w:r>
        <w:rPr>
          <w:rFonts w:cs="Helvetica" w:ascii="Helvetica" w:hAnsi="Helvetica"/>
          <w:kern w:val="0"/>
          <w:sz w:val="24"/>
          <w:szCs w:val="24"/>
        </w:rPr>
      </w:r>
    </w:p>
    <w:p>
      <w:pPr>
        <w:pStyle w:val="ListParagraph"/>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Training</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overflowPunct w:val="false"/>
        <w:rPr>
          <w:rFonts w:ascii="Helvetica" w:hAnsi="Helvetica" w:cs="Helvetica"/>
          <w:kern w:val="0"/>
          <w:sz w:val="24"/>
          <w:szCs w:val="24"/>
        </w:rPr>
      </w:pPr>
      <w:r>
        <w:rPr>
          <w:rFonts w:cs="Helvetica" w:ascii="Helvetica" w:hAnsi="Helvetica"/>
          <w:b/>
          <w:bCs/>
          <w:kern w:val="0"/>
          <w:sz w:val="24"/>
          <w:szCs w:val="24"/>
        </w:rPr>
        <w:t xml:space="preserve">Sanchia Brandreth </w:t>
      </w:r>
      <w:r>
        <w:rPr>
          <w:rFonts w:cs="Helvetica" w:ascii="Helvetica" w:hAnsi="Helvetica"/>
          <w:kern w:val="0"/>
          <w:sz w:val="24"/>
          <w:szCs w:val="24"/>
        </w:rPr>
        <w:t>is responsible for training.  The following training relevant to health and safety is provided to all staff members and volunteers in setting:</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overflowPunct w:val="false"/>
        <w:rPr>
          <w:rFonts w:ascii="Helvetica" w:hAnsi="Helvetica" w:cs="Helvetica"/>
          <w:kern w:val="0"/>
          <w:sz w:val="24"/>
          <w:szCs w:val="24"/>
        </w:rPr>
      </w:pPr>
      <w:r>
        <w:rPr>
          <w:rFonts w:cs="Helvetica" w:ascii="Helvetica" w:hAnsi="Helvetica"/>
          <w:kern w:val="0"/>
          <w:sz w:val="24"/>
          <w:szCs w:val="24"/>
        </w:rPr>
      </w:r>
    </w:p>
    <w:p>
      <w:pPr>
        <w:pStyle w:val="ListParagraph"/>
        <w:numPr>
          <w:ilvl w:val="0"/>
          <w:numId w:val="1"/>
        </w:numPr>
        <w:jc w:val="both"/>
        <w:rPr>
          <w:rFonts w:ascii="Helvetica" w:hAnsi="Helvetica" w:cs="Helvetica"/>
          <w:kern w:val="0"/>
          <w:sz w:val="24"/>
          <w:szCs w:val="24"/>
        </w:rPr>
      </w:pPr>
      <w:r>
        <w:rPr>
          <w:rFonts w:cs="Helvetica" w:ascii="Helvetica" w:hAnsi="Helvetica"/>
          <w:kern w:val="0"/>
          <w:sz w:val="24"/>
          <w:szCs w:val="24"/>
        </w:rPr>
        <w:t>written and verbal information relating to health and safety procedures is provided at staff inductions and regularly refreshed at staff meetings, including emergency evacuation procedures</w:t>
      </w:r>
    </w:p>
    <w:p>
      <w:pPr>
        <w:pStyle w:val="ListParagraph"/>
        <w:numPr>
          <w:ilvl w:val="0"/>
          <w:numId w:val="1"/>
        </w:numPr>
        <w:jc w:val="both"/>
        <w:rPr>
          <w:rFonts w:ascii="Helvetica" w:hAnsi="Helvetica" w:cs="Helvetica"/>
          <w:kern w:val="0"/>
          <w:sz w:val="24"/>
          <w:szCs w:val="24"/>
        </w:rPr>
      </w:pPr>
      <w:r>
        <w:rPr>
          <w:rFonts w:cs="Helvetica" w:ascii="Helvetica" w:hAnsi="Helvetica"/>
          <w:kern w:val="0"/>
          <w:sz w:val="24"/>
          <w:szCs w:val="24"/>
        </w:rPr>
        <w:t>paediatric first aid training</w:t>
      </w:r>
    </w:p>
    <w:p>
      <w:pPr>
        <w:pStyle w:val="ListParagraph"/>
        <w:numPr>
          <w:ilvl w:val="0"/>
          <w:numId w:val="1"/>
        </w:numPr>
        <w:jc w:val="both"/>
        <w:rPr>
          <w:rFonts w:ascii="Helvetica" w:hAnsi="Helvetica" w:cs="Helvetica"/>
          <w:kern w:val="0"/>
          <w:sz w:val="24"/>
          <w:szCs w:val="24"/>
        </w:rPr>
      </w:pPr>
      <w:r>
        <w:rPr>
          <w:rFonts w:cs="Helvetica" w:ascii="Helvetica" w:hAnsi="Helvetica"/>
          <w:kern w:val="0"/>
          <w:sz w:val="24"/>
          <w:szCs w:val="24"/>
        </w:rPr>
        <w:t>safeguarding children training</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overflowPunct w:val="false"/>
        <w:rPr>
          <w:rFonts w:ascii="Helvetica" w:hAnsi="Helvetica" w:cs="Helvetica"/>
          <w:b/>
          <w:b/>
          <w:bCs/>
          <w:kern w:val="0"/>
          <w:sz w:val="24"/>
          <w:szCs w:val="24"/>
        </w:rPr>
      </w:pPr>
      <w:r>
        <w:rPr>
          <w:rFonts w:cs="Helvetica" w:ascii="Helvetica" w:hAnsi="Helvetica"/>
          <w:b/>
          <w:bCs/>
          <w:kern w:val="0"/>
          <w:sz w:val="24"/>
          <w:szCs w:val="24"/>
        </w:rPr>
      </w:r>
    </w:p>
    <w:p>
      <w:pPr>
        <w:pStyle w:val="ListParagraph"/>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Rules for visitors</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overflowPunct w:val="false"/>
        <w:rPr>
          <w:rFonts w:ascii="Helvetica" w:hAnsi="Helvetica" w:cs="Helvetica"/>
          <w:kern w:val="0"/>
          <w:sz w:val="24"/>
          <w:szCs w:val="24"/>
        </w:rPr>
      </w:pPr>
      <w:r>
        <w:rPr>
          <w:rFonts w:cs="Helvetica" w:ascii="Helvetica" w:hAnsi="Helvetica"/>
          <w:kern w:val="0"/>
          <w:sz w:val="24"/>
          <w:szCs w:val="24"/>
        </w:rPr>
        <w:t>Contractors and visitors to the premises must follow the setting’s rules, as outlined below:</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overflowPunct w:val="false"/>
        <w:rPr>
          <w:rFonts w:ascii="Helvetica" w:hAnsi="Helvetica" w:cs="Helvetica"/>
          <w:kern w:val="0"/>
          <w:sz w:val="24"/>
          <w:szCs w:val="24"/>
        </w:rPr>
      </w:pPr>
      <w:r>
        <w:rPr>
          <w:rFonts w:cs="Helvetica" w:ascii="Helvetica" w:hAnsi="Helvetica"/>
          <w:kern w:val="0"/>
          <w:sz w:val="24"/>
          <w:szCs w:val="24"/>
        </w:rPr>
      </w:r>
    </w:p>
    <w:p>
      <w:pPr>
        <w:pStyle w:val="ListParagraph"/>
        <w:numPr>
          <w:ilvl w:val="0"/>
          <w:numId w:val="1"/>
        </w:numPr>
        <w:jc w:val="both"/>
        <w:rPr>
          <w:rFonts w:ascii="Helvetica" w:hAnsi="Helvetica" w:cs="Helvetica"/>
          <w:kern w:val="0"/>
          <w:sz w:val="24"/>
          <w:szCs w:val="24"/>
        </w:rPr>
      </w:pPr>
      <w:r>
        <w:rPr>
          <w:rFonts w:cs="Helvetica" w:ascii="Helvetica" w:hAnsi="Helvetica"/>
          <w:kern w:val="0"/>
          <w:sz w:val="24"/>
          <w:szCs w:val="24"/>
        </w:rPr>
        <w:t>Visitors must sign in when they visit the premises and sign out when they leave</w:t>
      </w:r>
    </w:p>
    <w:p>
      <w:pPr>
        <w:pStyle w:val="ListParagraph"/>
        <w:numPr>
          <w:ilvl w:val="0"/>
          <w:numId w:val="1"/>
        </w:numPr>
        <w:jc w:val="both"/>
        <w:rPr>
          <w:rFonts w:ascii="Helvetica" w:hAnsi="Helvetica" w:cs="Helvetica"/>
          <w:kern w:val="0"/>
          <w:sz w:val="24"/>
          <w:szCs w:val="24"/>
        </w:rPr>
      </w:pPr>
      <w:r>
        <w:rPr>
          <w:rFonts w:cs="Helvetica" w:ascii="Helvetica" w:hAnsi="Helvetica"/>
          <w:kern w:val="0"/>
          <w:sz w:val="24"/>
          <w:szCs w:val="24"/>
        </w:rPr>
        <w:t>No smoking or vaping on the premises, including in the garden</w:t>
      </w:r>
    </w:p>
    <w:p>
      <w:pPr>
        <w:pStyle w:val="ListParagraph"/>
        <w:numPr>
          <w:ilvl w:val="0"/>
          <w:numId w:val="1"/>
        </w:numPr>
        <w:jc w:val="both"/>
        <w:rPr>
          <w:rFonts w:ascii="Helvetica" w:hAnsi="Helvetica" w:cs="Helvetica"/>
          <w:kern w:val="0"/>
          <w:sz w:val="24"/>
          <w:szCs w:val="24"/>
        </w:rPr>
      </w:pPr>
      <w:r>
        <w:rPr>
          <w:rFonts w:cs="Helvetica" w:ascii="Helvetica" w:hAnsi="Helvetica"/>
          <w:kern w:val="0"/>
          <w:sz w:val="24"/>
          <w:szCs w:val="24"/>
        </w:rPr>
        <w:t>No hot drinks in the play areas</w:t>
      </w:r>
    </w:p>
    <w:p>
      <w:pPr>
        <w:pStyle w:val="ListParagraph"/>
        <w:numPr>
          <w:ilvl w:val="0"/>
          <w:numId w:val="1"/>
        </w:numPr>
        <w:jc w:val="both"/>
        <w:rPr>
          <w:rFonts w:ascii="Helvetica" w:hAnsi="Helvetica" w:cs="Helvetica"/>
          <w:kern w:val="0"/>
          <w:sz w:val="24"/>
          <w:szCs w:val="24"/>
        </w:rPr>
      </w:pPr>
      <w:r>
        <w:rPr>
          <w:rFonts w:cs="Helvetica" w:ascii="Helvetica" w:hAnsi="Helvetica"/>
          <w:kern w:val="0"/>
          <w:sz w:val="24"/>
          <w:szCs w:val="24"/>
        </w:rPr>
        <w:t>Maintenance work only to be carried out when there are no children in the setting, or in the areas in which children are not currently playing.</w:t>
      </w:r>
    </w:p>
    <w:p>
      <w:pPr>
        <w:pStyle w:val="Normal"/>
        <w:jc w:val="both"/>
        <w:rPr>
          <w:rFonts w:ascii="Helvetica" w:hAnsi="Helvetica" w:cs="Helvetica"/>
          <w:kern w:val="0"/>
          <w:sz w:val="24"/>
          <w:szCs w:val="24"/>
        </w:rPr>
      </w:pPr>
      <w:r>
        <w:rPr>
          <w:rFonts w:cs="Helvetica" w:ascii="Helvetica" w:hAnsi="Helvetica"/>
          <w:kern w:val="0"/>
          <w:sz w:val="24"/>
          <w:szCs w:val="24"/>
        </w:rPr>
      </w:r>
    </w:p>
    <w:p>
      <w:pPr>
        <w:pStyle w:val="ListParagraph"/>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Housekeeping</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overflowPunct w:val="false"/>
        <w:rPr>
          <w:rFonts w:ascii="Helvetica" w:hAnsi="Helvetica" w:cs="Helvetica"/>
          <w:kern w:val="0"/>
          <w:sz w:val="24"/>
          <w:szCs w:val="24"/>
        </w:rPr>
      </w:pPr>
      <w:r>
        <w:rPr>
          <w:rFonts w:cs="Helvetica" w:ascii="Helvetica" w:hAnsi="Helvetica"/>
          <w:kern w:val="0"/>
          <w:sz w:val="24"/>
          <w:szCs w:val="24"/>
        </w:rPr>
        <w:t>Cleanliness: Staff and volunteers in setting are to follow good hygiene practices at all times.  When preparing food, food safety procedures must be followed.</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overflowPunct w:val="false"/>
        <w:rPr>
          <w:rFonts w:ascii="Helvetica" w:hAnsi="Helvetica" w:cs="Helvetica"/>
          <w:kern w:val="0"/>
          <w:sz w:val="24"/>
          <w:szCs w:val="24"/>
        </w:rPr>
      </w:pPr>
      <w:r>
        <w:rPr>
          <w:rFonts w:cs="Helvetica" w:ascii="Helvetica" w:hAnsi="Helvetica"/>
          <w:kern w:val="0"/>
          <w:sz w:val="24"/>
          <w:szCs w:val="24"/>
        </w:rPr>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overflowPunct w:val="false"/>
        <w:rPr>
          <w:rFonts w:ascii="Helvetica" w:hAnsi="Helvetica" w:cs="Helvetica"/>
          <w:kern w:val="0"/>
          <w:sz w:val="24"/>
          <w:szCs w:val="24"/>
        </w:rPr>
      </w:pPr>
      <w:r>
        <w:rPr>
          <w:rFonts w:cs="Helvetica" w:ascii="Helvetica" w:hAnsi="Helvetica"/>
          <w:kern w:val="0"/>
          <w:sz w:val="24"/>
          <w:szCs w:val="24"/>
        </w:rPr>
        <w:t>Waste Disposal: Nappies are to be disposed of in nappy wrapper bin, which will be emptied at the end of each session if it has been used.  Sanitary products are to be disposed of in the sanitary bin, which will be emptied as necessary.  In line with Suffolk County Council’s waste disposal requirements, these items must be double bagged before they are placed into the black waste disposal bin.</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overflowPunct w:val="false"/>
        <w:rPr>
          <w:rFonts w:ascii="Helvetica" w:hAnsi="Helvetica" w:cs="Helvetica"/>
          <w:kern w:val="0"/>
          <w:sz w:val="24"/>
          <w:szCs w:val="24"/>
        </w:rPr>
      </w:pPr>
      <w:r>
        <w:rPr>
          <w:rFonts w:cs="Helvetica" w:ascii="Helvetica" w:hAnsi="Helvetica"/>
          <w:kern w:val="0"/>
          <w:sz w:val="24"/>
          <w:szCs w:val="24"/>
        </w:rPr>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overflowPunct w:val="false"/>
        <w:rPr>
          <w:rFonts w:ascii="Helvetica" w:hAnsi="Helvetica" w:cs="Helvetica"/>
          <w:kern w:val="0"/>
          <w:sz w:val="24"/>
          <w:szCs w:val="24"/>
        </w:rPr>
      </w:pPr>
      <w:r>
        <w:rPr>
          <w:rFonts w:cs="Helvetica" w:ascii="Helvetica" w:hAnsi="Helvetica"/>
          <w:kern w:val="0"/>
          <w:sz w:val="24"/>
          <w:szCs w:val="24"/>
        </w:rPr>
        <w:t>Safe Stacking and Storage: Staff and volunteers to take reasonable precautions to ensure safe</w:t>
      </w:r>
    </w:p>
    <w:p>
      <w:pPr>
        <w:pStyle w:val="Normal"/>
        <w:widowControl/>
        <w:tabs>
          <w:tab w:val="clear" w:pos="720"/>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overflowPunct w:val="false"/>
        <w:rPr>
          <w:rFonts w:ascii="Helvetica" w:hAnsi="Helvetica" w:cs="Helvetica"/>
          <w:kern w:val="0"/>
          <w:sz w:val="24"/>
          <w:szCs w:val="24"/>
        </w:rPr>
      </w:pPr>
      <w:r>
        <w:rPr>
          <w:rFonts w:cs="Helvetica" w:ascii="Helvetica" w:hAnsi="Helvetica"/>
          <w:kern w:val="0"/>
          <w:sz w:val="24"/>
          <w:szCs w:val="24"/>
        </w:rPr>
        <w:t>stacking and storage. Storage areas are kept locked during session times to prevent children accessing them.  Children are only allowed access to storage areas with Play Leader’s approval, and then must always be accompanied by an adult.</w:t>
      </w:r>
    </w:p>
    <w:p>
      <w:pPr>
        <w:pStyle w:val="Normal"/>
        <w:jc w:val="both"/>
        <w:rPr>
          <w:rFonts w:ascii="Arial" w:hAnsi="Arial" w:cs="Arial"/>
          <w:sz w:val="24"/>
          <w:szCs w:val="24"/>
        </w:rPr>
      </w:pPr>
      <w:r>
        <w:rPr>
          <w:rFonts w:cs="Arial" w:ascii="Arial" w:hAnsi="Arial"/>
          <w:sz w:val="24"/>
          <w:szCs w:val="24"/>
        </w:rPr>
      </w:r>
    </w:p>
    <w:p>
      <w:pPr>
        <w:pStyle w:val="Normal"/>
        <w:widowControl/>
        <w:overflowPunct w:val="false"/>
        <w:rPr>
          <w:rFonts w:ascii="Arial" w:hAnsi="Arial" w:cs="Arial"/>
          <w:sz w:val="24"/>
          <w:szCs w:val="24"/>
        </w:rPr>
      </w:pPr>
      <w:r>
        <w:rPr>
          <w:rFonts w:cs="Arial" w:ascii="Arial" w:hAnsi="Arial"/>
          <w:sz w:val="24"/>
          <w:szCs w:val="24"/>
        </w:rPr>
        <w:t>Trip Hazards: Staff to be aware of toys on the floor and Rifton chair to be placed where it will not cause a trip hazard.</w:t>
      </w:r>
    </w:p>
    <w:p>
      <w:pPr>
        <w:pStyle w:val="Normal"/>
        <w:jc w:val="both"/>
        <w:rPr>
          <w:rFonts w:ascii="Arial" w:hAnsi="Arial" w:cs="Arial"/>
          <w:sz w:val="24"/>
          <w:szCs w:val="24"/>
        </w:rPr>
      </w:pPr>
      <w:r>
        <w:rPr>
          <w:rFonts w:cs="Arial" w:ascii="Arial" w:hAnsi="Arial"/>
          <w:sz w:val="24"/>
          <w:szCs w:val="24"/>
        </w:rPr>
      </w:r>
    </w:p>
    <w:p>
      <w:pPr>
        <w:pStyle w:val="Normal"/>
        <w:jc w:val="both"/>
        <w:rPr>
          <w:rFonts w:ascii="Helvetica" w:hAnsi="Helvetica" w:cs="Helvetica"/>
          <w:kern w:val="0"/>
          <w:sz w:val="24"/>
          <w:szCs w:val="24"/>
        </w:rPr>
      </w:pPr>
      <w:r>
        <w:rPr>
          <w:rFonts w:cs="Arial" w:ascii="Arial" w:hAnsi="Arial"/>
          <w:sz w:val="24"/>
          <w:szCs w:val="24"/>
        </w:rPr>
        <w:t xml:space="preserve">Other: </w:t>
      </w:r>
    </w:p>
    <w:p>
      <w:pPr>
        <w:pStyle w:val="ListParagraph"/>
        <w:numPr>
          <w:ilvl w:val="0"/>
          <w:numId w:val="1"/>
        </w:numPr>
        <w:jc w:val="both"/>
        <w:rPr>
          <w:rFonts w:ascii="Helvetica" w:hAnsi="Helvetica" w:cs="Helvetica"/>
          <w:kern w:val="0"/>
          <w:sz w:val="24"/>
          <w:szCs w:val="24"/>
        </w:rPr>
      </w:pPr>
      <w:r>
        <w:rPr>
          <w:rFonts w:cs="Helvetica" w:ascii="Helvetica" w:hAnsi="Helvetica"/>
          <w:kern w:val="0"/>
          <w:sz w:val="24"/>
          <w:szCs w:val="24"/>
        </w:rPr>
        <w:t xml:space="preserve">Exit doors (apart from the emergency exit door in the kitchen) to be locked with bolts that are out of reach of children during session times.  </w:t>
      </w:r>
    </w:p>
    <w:p>
      <w:pPr>
        <w:pStyle w:val="ListParagraph"/>
        <w:numPr>
          <w:ilvl w:val="0"/>
          <w:numId w:val="1"/>
        </w:numPr>
        <w:jc w:val="both"/>
        <w:rPr>
          <w:rFonts w:ascii="Helvetica" w:hAnsi="Helvetica" w:cs="Helvetica"/>
          <w:kern w:val="0"/>
          <w:sz w:val="24"/>
          <w:szCs w:val="24"/>
        </w:rPr>
      </w:pPr>
      <w:r>
        <w:rPr>
          <w:rFonts w:cs="Helvetica" w:ascii="Helvetica" w:hAnsi="Helvetica"/>
          <w:kern w:val="0"/>
          <w:sz w:val="24"/>
          <w:szCs w:val="24"/>
        </w:rPr>
        <w:t xml:space="preserve">Safety gate to the kitchen to be secured whenever children are on the premises. </w:t>
      </w:r>
    </w:p>
    <w:p>
      <w:pPr>
        <w:pStyle w:val="ListParagraph"/>
        <w:numPr>
          <w:ilvl w:val="0"/>
          <w:numId w:val="1"/>
        </w:numPr>
        <w:jc w:val="both"/>
        <w:rPr>
          <w:rFonts w:ascii="Helvetica" w:hAnsi="Helvetica" w:cs="Helvetica"/>
          <w:kern w:val="0"/>
          <w:sz w:val="24"/>
          <w:szCs w:val="24"/>
        </w:rPr>
      </w:pPr>
      <w:r>
        <w:rPr>
          <w:rFonts w:cs="Helvetica" w:ascii="Helvetica" w:hAnsi="Helvetica"/>
          <w:kern w:val="0"/>
          <w:sz w:val="24"/>
          <w:szCs w:val="24"/>
        </w:rPr>
        <w:t>Safety gate to the upstairs staff offices must be secured whenever children are on the premises.</w:t>
      </w:r>
    </w:p>
    <w:p>
      <w:pPr>
        <w:pStyle w:val="ListParagraph"/>
        <w:numPr>
          <w:ilvl w:val="0"/>
          <w:numId w:val="1"/>
        </w:numPr>
        <w:jc w:val="both"/>
        <w:rPr>
          <w:rFonts w:ascii="Helvetica" w:hAnsi="Helvetica" w:cs="Helvetica"/>
          <w:kern w:val="0"/>
          <w:sz w:val="24"/>
          <w:szCs w:val="24"/>
        </w:rPr>
      </w:pPr>
      <w:r>
        <w:rPr>
          <w:rFonts w:cs="Helvetica" w:ascii="Helvetica" w:hAnsi="Helvetica"/>
          <w:kern w:val="0"/>
          <w:sz w:val="24"/>
          <w:szCs w:val="24"/>
        </w:rPr>
        <w:t xml:space="preserve">Hot drinks must only be drunk in the snack room out of reach of children. </w:t>
      </w:r>
    </w:p>
    <w:p>
      <w:pPr>
        <w:pStyle w:val="ListParagraph"/>
        <w:numPr>
          <w:ilvl w:val="0"/>
          <w:numId w:val="1"/>
        </w:numPr>
        <w:jc w:val="both"/>
        <w:rPr>
          <w:rFonts w:ascii="Helvetica" w:hAnsi="Helvetica" w:cs="Helvetica"/>
          <w:kern w:val="0"/>
          <w:sz w:val="24"/>
          <w:szCs w:val="24"/>
        </w:rPr>
      </w:pPr>
      <w:r>
        <w:rPr>
          <w:rFonts w:cs="Helvetica" w:ascii="Helvetica" w:hAnsi="Helvetica"/>
          <w:kern w:val="0"/>
          <w:sz w:val="24"/>
          <w:szCs w:val="24"/>
        </w:rPr>
        <w:t xml:space="preserve">Security entrance gate to be kept shut at all times and can be unlocked only by staff using 4 digit code or key.  Code or key can be given only to permitted individuals to allow access when the Group is closed e.g. for Cleaning, Gardening or Decorating work. </w:t>
      </w:r>
    </w:p>
    <w:p>
      <w:pPr>
        <w:pStyle w:val="ListParagraph"/>
        <w:ind w:left="357" w:hanging="0"/>
        <w:jc w:val="both"/>
        <w:rPr>
          <w:rFonts w:ascii="Arial" w:hAnsi="Arial" w:cs="Arial"/>
          <w:b/>
          <w:b/>
          <w:bCs/>
          <w:sz w:val="24"/>
          <w:szCs w:val="24"/>
        </w:rPr>
      </w:pPr>
      <w:r>
        <w:rPr>
          <w:rFonts w:cs="Arial" w:ascii="Arial" w:hAnsi="Arial"/>
          <w:b/>
          <w:bCs/>
          <w:sz w:val="24"/>
          <w:szCs w:val="24"/>
        </w:rPr>
      </w:r>
    </w:p>
    <w:p>
      <w:pPr>
        <w:pStyle w:val="ListParagraph"/>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Electrical Equipment</w:t>
      </w:r>
    </w:p>
    <w:p>
      <w:pPr>
        <w:pStyle w:val="Normal"/>
        <w:jc w:val="both"/>
        <w:rPr>
          <w:rFonts w:ascii="Arial" w:hAnsi="Arial" w:cs="Arial"/>
          <w:sz w:val="24"/>
          <w:szCs w:val="24"/>
        </w:rPr>
      </w:pPr>
      <w:r>
        <w:rPr>
          <w:rFonts w:cs="Arial" w:ascii="Arial" w:hAnsi="Arial"/>
          <w:sz w:val="24"/>
          <w:szCs w:val="24"/>
        </w:rPr>
        <w:t>Staff to conduct visual inspection of electrical equipment, including wires, plugs and any loose connections half-termly.  Visual inspection of electrical equipment is also carried out in daily checks.</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Independent contractor to check electrical appliances every five years.</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Socket adapters not allowed: extension leads to be used where necessary.</w:t>
      </w:r>
    </w:p>
    <w:p>
      <w:pPr>
        <w:pStyle w:val="Normal"/>
        <w:jc w:val="both"/>
        <w:rPr>
          <w:rFonts w:ascii="Arial" w:hAnsi="Arial" w:cs="Arial"/>
          <w:sz w:val="24"/>
          <w:szCs w:val="24"/>
          <w:u w:val="single"/>
        </w:rPr>
      </w:pPr>
      <w:r>
        <w:rPr>
          <w:rFonts w:cs="Arial" w:ascii="Arial" w:hAnsi="Arial"/>
          <w:sz w:val="24"/>
          <w:szCs w:val="24"/>
          <w:u w:val="single"/>
        </w:rPr>
      </w:r>
    </w:p>
    <w:p>
      <w:pPr>
        <w:pStyle w:val="ListParagraph"/>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 xml:space="preserve">Outdoor Equipment </w:t>
      </w:r>
    </w:p>
    <w:p>
      <w:pPr>
        <w:pStyle w:val="Normal"/>
        <w:jc w:val="both"/>
        <w:rPr>
          <w:rFonts w:ascii="Arial" w:hAnsi="Arial" w:cs="Arial"/>
          <w:sz w:val="24"/>
          <w:szCs w:val="24"/>
        </w:rPr>
      </w:pPr>
      <w:r>
        <w:rPr>
          <w:rFonts w:cs="Arial" w:ascii="Arial" w:hAnsi="Arial"/>
          <w:sz w:val="24"/>
          <w:szCs w:val="24"/>
        </w:rPr>
        <w:t xml:space="preserve">The outdoor equipment will be checked by </w:t>
      </w:r>
      <w:r>
        <w:rPr>
          <w:rFonts w:cs="Arial" w:ascii="Arial" w:hAnsi="Arial"/>
          <w:b/>
          <w:bCs/>
          <w:sz w:val="24"/>
          <w:szCs w:val="24"/>
        </w:rPr>
        <w:t>Jane Last</w:t>
      </w:r>
      <w:r>
        <w:rPr>
          <w:rFonts w:cs="Arial" w:ascii="Arial" w:hAnsi="Arial"/>
          <w:sz w:val="24"/>
          <w:szCs w:val="24"/>
        </w:rPr>
        <w:t xml:space="preserve">, or her deputy, when the outdoor area is set up prior to each play session. </w:t>
      </w:r>
    </w:p>
    <w:p>
      <w:pPr>
        <w:pStyle w:val="Normal"/>
        <w:jc w:val="both"/>
        <w:rPr>
          <w:rFonts w:ascii="Arial" w:hAnsi="Arial" w:cs="Arial"/>
          <w:sz w:val="24"/>
          <w:szCs w:val="24"/>
        </w:rPr>
      </w:pPr>
      <w:r>
        <w:rPr>
          <w:rFonts w:cs="Arial" w:ascii="Arial" w:hAnsi="Arial"/>
          <w:sz w:val="24"/>
          <w:szCs w:val="24"/>
        </w:rPr>
      </w:r>
    </w:p>
    <w:p>
      <w:pPr>
        <w:pStyle w:val="ListParagraph"/>
        <w:numPr>
          <w:ilvl w:val="0"/>
          <w:numId w:val="2"/>
        </w:numPr>
        <w:spacing w:before="0" w:after="120"/>
        <w:ind w:left="357" w:hanging="357"/>
        <w:contextualSpacing/>
        <w:jc w:val="both"/>
        <w:rPr>
          <w:rFonts w:ascii="Arial" w:hAnsi="Arial" w:cs="Arial"/>
          <w:b/>
          <w:b/>
          <w:bCs/>
          <w:sz w:val="24"/>
          <w:szCs w:val="24"/>
        </w:rPr>
      </w:pPr>
      <w:r>
        <w:rPr>
          <w:rFonts w:cs="Arial" w:ascii="Arial" w:hAnsi="Arial"/>
          <w:b/>
          <w:bCs/>
          <w:sz w:val="24"/>
          <w:szCs w:val="24"/>
        </w:rPr>
        <w:t>Young Workers Policy</w:t>
      </w:r>
    </w:p>
    <w:p>
      <w:pPr>
        <w:pStyle w:val="Normal"/>
        <w:jc w:val="both"/>
        <w:rPr>
          <w:rFonts w:ascii="Arial" w:hAnsi="Arial" w:cs="Arial"/>
          <w:sz w:val="24"/>
          <w:szCs w:val="24"/>
        </w:rPr>
      </w:pPr>
      <w:r>
        <w:rPr>
          <w:rFonts w:cs="Arial" w:ascii="Arial" w:hAnsi="Arial"/>
          <w:sz w:val="24"/>
          <w:szCs w:val="24"/>
        </w:rPr>
        <w:t>We recognise that young workers may need extra supervision due to their age and we will co-operate with their educational establishment in ensuring safe working practices.</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NOTE: PLEASE ALSO REFER TO EOG RISK ASSESSMENTS</w:t>
      </w:r>
    </w:p>
    <w:sectPr>
      <w:headerReference w:type="default" r:id="rId4"/>
      <w:footerReference w:type="default" r:id="rId5"/>
      <w:type w:val="nextPage"/>
      <w:pgSz w:w="12240" w:h="15840"/>
      <w:pgMar w:left="720" w:right="720" w:header="709" w:top="766" w:footer="709" w:bottom="766" w:gutter="0"/>
      <w:pgNumType w:start="1"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Helvetica">
    <w:altName w:val="Arial"/>
    <w:charset w:val="00"/>
    <w:family w:val="roman"/>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4152" w:leader="none"/>
        <w:tab w:val="right" w:pos="8305" w:leader="none"/>
      </w:tabs>
      <w:jc w:val="right"/>
      <w:rPr>
        <w:rFonts w:ascii="Arial" w:hAnsi="Arial" w:cs="Arial"/>
        <w:kern w:val="0"/>
        <w:sz w:val="24"/>
        <w:szCs w:val="24"/>
      </w:rPr>
    </w:pPr>
    <w:r>
      <w:rPr>
        <w:rFonts w:cs="Arial" w:ascii="Arial" w:hAnsi="Arial"/>
        <w:kern w:val="0"/>
        <w:sz w:val="24"/>
        <w:szCs w:val="24"/>
      </w:rPr>
    </w:r>
  </w:p>
  <w:p>
    <w:pPr>
      <w:pStyle w:val="Normal"/>
      <w:tabs>
        <w:tab w:val="clear" w:pos="720"/>
        <w:tab w:val="center" w:pos="4152" w:leader="none"/>
        <w:tab w:val="right" w:pos="8305" w:leader="none"/>
      </w:tabs>
      <w:rPr>
        <w:rFonts w:ascii="Arial" w:hAnsi="Arial" w:cs="Arial"/>
        <w:kern w:val="0"/>
        <w:sz w:val="24"/>
        <w:szCs w:val="24"/>
      </w:rPr>
    </w:pPr>
    <w:r>
      <w:rPr>
        <w:rFonts w:cs="Arial" w:ascii="Arial" w:hAnsi="Arial"/>
        <w:kern w:val="0"/>
        <w:sz w:val="24"/>
        <w:szCs w:val="24"/>
      </w:rPr>
    </w:r>
  </w:p>
  <w:p>
    <w:pPr>
      <w:pStyle w:val="Normal"/>
      <w:tabs>
        <w:tab w:val="clear" w:pos="720"/>
        <w:tab w:val="center" w:pos="4152" w:leader="none"/>
        <w:tab w:val="right" w:pos="8305" w:leader="none"/>
      </w:tabs>
      <w:rPr>
        <w:kern w:val="0"/>
      </w:rPr>
    </w:pPr>
    <w:r>
      <w:rPr>
        <w:kern w:val="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5610" w:leader="none"/>
        <w:tab w:val="right" w:pos="11220" w:leader="none"/>
      </w:tabs>
      <w:rPr>
        <w:kern w:val="0"/>
      </w:rPr>
    </w:pPr>
    <w:r>
      <w:rPr>
        <w:kern w:val="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7"/>
  <w:embedSystemFonts/>
  <w:defaultTabStop w:val="720"/>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overflowPunct w:val="true"/>
      <w:bidi w:val="0"/>
      <w:spacing w:before="0" w:after="0"/>
      <w:jc w:val="left"/>
    </w:pPr>
    <w:rPr>
      <w:rFonts w:cs="Calibri" w:ascii="Calibri" w:hAnsi="Calibri" w:eastAsia="Times New Roman"/>
      <w:color w:val="auto"/>
      <w:kern w:val="2"/>
      <w:sz w:val="22"/>
      <w:szCs w:val="22"/>
      <w:lang w:val="en-GB" w:eastAsia="en-GB" w:bidi="ar-SA"/>
    </w:rPr>
  </w:style>
  <w:style w:type="paragraph" w:styleId="Heading1">
    <w:name w:val="Heading 1"/>
    <w:basedOn w:val="Normal"/>
    <w:link w:val="Heading1Char"/>
    <w:uiPriority w:val="9"/>
    <w:qFormat/>
    <w:rsid w:val="00af78c6"/>
    <w:pPr>
      <w:widowControl/>
      <w:overflowPunct w:val="false"/>
      <w:spacing w:beforeAutospacing="1" w:afterAutospacing="1"/>
      <w:outlineLvl w:val="0"/>
    </w:pPr>
    <w:rPr>
      <w:rFonts w:ascii="Times New Roman" w:hAnsi="Times New Roman" w:cs="Times New Roman"/>
      <w:b/>
      <w:bCs/>
      <w:kern w:val="2"/>
      <w:sz w:val="48"/>
      <w:szCs w:val="48"/>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uiPriority w:val="99"/>
    <w:semiHidden/>
    <w:unhideWhenUsed/>
    <w:qFormat/>
    <w:rsid w:val="001e6f01"/>
    <w:rPr>
      <w:sz w:val="16"/>
      <w:szCs w:val="16"/>
    </w:rPr>
  </w:style>
  <w:style w:type="character" w:styleId="CommentTextChar" w:customStyle="1">
    <w:name w:val="Comment Text Char"/>
    <w:basedOn w:val="DefaultParagraphFont"/>
    <w:link w:val="CommentText"/>
    <w:uiPriority w:val="99"/>
    <w:semiHidden/>
    <w:qFormat/>
    <w:rsid w:val="001e6f01"/>
    <w:rPr>
      <w:rFonts w:cs="Calibri"/>
      <w:kern w:val="2"/>
    </w:rPr>
  </w:style>
  <w:style w:type="character" w:styleId="CommentSubjectChar" w:customStyle="1">
    <w:name w:val="Comment Subject Char"/>
    <w:basedOn w:val="CommentTextChar"/>
    <w:link w:val="CommentSubject"/>
    <w:uiPriority w:val="99"/>
    <w:semiHidden/>
    <w:qFormat/>
    <w:rsid w:val="001e6f01"/>
    <w:rPr>
      <w:rFonts w:cs="Calibri"/>
      <w:b/>
      <w:bCs/>
      <w:kern w:val="2"/>
    </w:rPr>
  </w:style>
  <w:style w:type="character" w:styleId="Heading1Char" w:customStyle="1">
    <w:name w:val="Heading 1 Char"/>
    <w:basedOn w:val="DefaultParagraphFont"/>
    <w:link w:val="Heading1"/>
    <w:uiPriority w:val="9"/>
    <w:qFormat/>
    <w:rsid w:val="00af78c6"/>
    <w:rPr>
      <w:rFonts w:ascii="Times New Roman" w:hAnsi="Times New Roman"/>
      <w:b/>
      <w:bCs/>
      <w:kern w:val="2"/>
      <w:sz w:val="48"/>
      <w:szCs w:val="48"/>
    </w:rPr>
  </w:style>
  <w:style w:type="character" w:styleId="InternetLink">
    <w:name w:val="Hyperlink"/>
    <w:basedOn w:val="DefaultParagraphFont"/>
    <w:uiPriority w:val="99"/>
    <w:unhideWhenUsed/>
    <w:rsid w:val="00af78c6"/>
    <w:rPr>
      <w:color w:val="0000FF" w:themeColor="hyperlink"/>
      <w:u w:val="single"/>
    </w:rPr>
  </w:style>
  <w:style w:type="character" w:styleId="UnresolvedMention">
    <w:name w:val="Unresolved Mention"/>
    <w:basedOn w:val="DefaultParagraphFont"/>
    <w:uiPriority w:val="99"/>
    <w:semiHidden/>
    <w:unhideWhenUsed/>
    <w:qFormat/>
    <w:rsid w:val="00af78c6"/>
    <w:rPr>
      <w:color w:val="605E5C"/>
      <w:shd w:fill="E1DFDD" w:val="clear"/>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Revision">
    <w:name w:val="Revision"/>
    <w:uiPriority w:val="99"/>
    <w:semiHidden/>
    <w:qFormat/>
    <w:rsid w:val="001e6f01"/>
    <w:pPr>
      <w:widowControl/>
      <w:bidi w:val="0"/>
      <w:spacing w:before="0" w:after="0"/>
      <w:jc w:val="left"/>
    </w:pPr>
    <w:rPr>
      <w:rFonts w:cs="Calibri" w:ascii="Calibri" w:hAnsi="Calibri" w:eastAsia="Times New Roman"/>
      <w:color w:val="auto"/>
      <w:kern w:val="2"/>
      <w:sz w:val="22"/>
      <w:szCs w:val="22"/>
      <w:lang w:val="en-GB" w:eastAsia="en-GB" w:bidi="ar-SA"/>
    </w:rPr>
  </w:style>
  <w:style w:type="paragraph" w:styleId="Annotationtext">
    <w:name w:val="annotation text"/>
    <w:basedOn w:val="Normal"/>
    <w:link w:val="CommentTextChar"/>
    <w:uiPriority w:val="99"/>
    <w:semiHidden/>
    <w:unhideWhenUsed/>
    <w:qFormat/>
    <w:rsid w:val="001e6f01"/>
    <w:pPr/>
    <w:rPr>
      <w:sz w:val="20"/>
      <w:szCs w:val="20"/>
    </w:rPr>
  </w:style>
  <w:style w:type="paragraph" w:styleId="Annotationsubject">
    <w:name w:val="annotation subject"/>
    <w:basedOn w:val="Annotationtext"/>
    <w:next w:val="Annotationtext"/>
    <w:link w:val="CommentSubjectChar"/>
    <w:uiPriority w:val="99"/>
    <w:semiHidden/>
    <w:unhideWhenUsed/>
    <w:qFormat/>
    <w:rsid w:val="001e6f01"/>
    <w:pPr/>
    <w:rPr>
      <w:b/>
      <w:bCs/>
    </w:rPr>
  </w:style>
  <w:style w:type="paragraph" w:styleId="ListParagraph">
    <w:name w:val="List Paragraph"/>
    <w:basedOn w:val="Normal"/>
    <w:uiPriority w:val="34"/>
    <w:qFormat/>
    <w:rsid w:val="001e6f01"/>
    <w:pPr>
      <w:spacing w:before="0" w:after="0"/>
      <w:ind w:left="720" w:hanging="0"/>
      <w:contextualSpacing/>
    </w:pPr>
    <w:rPr/>
  </w:style>
  <w:style w:type="paragraph" w:styleId="NormalWeb">
    <w:name w:val="Normal (Web)"/>
    <w:basedOn w:val="Normal"/>
    <w:uiPriority w:val="99"/>
    <w:unhideWhenUsed/>
    <w:qFormat/>
    <w:rsid w:val="002c2c37"/>
    <w:pPr>
      <w:widowControl/>
      <w:overflowPunct w:val="false"/>
      <w:spacing w:beforeAutospacing="1" w:afterAutospacing="1"/>
    </w:pPr>
    <w:rPr>
      <w:rFonts w:ascii="Times New Roman" w:hAnsi="Times New Roman" w:cs="Times New Roman"/>
      <w:kern w:val="0"/>
      <w:sz w:val="24"/>
      <w:szCs w:val="24"/>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numbering" w:styleId="CurrentList1" w:customStyle="1">
    <w:name w:val="Current List1"/>
    <w:uiPriority w:val="99"/>
    <w:qFormat/>
    <w:rsid w:val="00b56cff"/>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Light">
    <w:name w:val="Grid Table Light"/>
    <w:basedOn w:val="TableNormal"/>
    <w:uiPriority w:val="40"/>
    <w:rsid w:val="003a5ff5"/>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styleId="PlainTable2">
    <w:name w:val="Plain Table 2"/>
    <w:basedOn w:val="TableNormal"/>
    <w:uiPriority w:val="42"/>
    <w:rsid w:val="003a5ff5"/>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sz="4" w:space="0"/>
        </w:tcBorders>
      </w:tcPr>
    </w:tblStylePr>
    <w:tblStylePr w:type="lastRow">
      <w:rPr>
        <w:b/>
        <w:bCs/>
      </w:rPr>
      <w:tblPr/>
      <w:tcPr>
        <w:tcBorders>
          <w:top w:val="single" w:color="7F7F7F" w:themeColor="text1" w:sz="4" w:space="0"/>
        </w:tcBorders>
      </w:tcPr>
    </w:tblStylePr>
    <w:tblStylePr w:type="firstCol">
      <w:rPr>
        <w:b/>
        <w:bCs/>
      </w:rPr>
      <w:tblPr/>
    </w:tblStylePr>
    <w:tblStylePr w:type="lastCol">
      <w:rPr>
        <w:b/>
        <w:bCs/>
      </w:rPr>
      <w:tblPr/>
    </w:tblStylePr>
    <w:tblStylePr w:type="band1Vert">
      <w:tblPr/>
      <w:tcPr>
        <w:tcBorders>
          <w:left w:val="single" w:color="7F7F7F" w:themeColor="text1" w:sz="4" w:space="0"/>
          <w:right w:val="single" w:color="7F7F7F" w:themeColor="text1" w:sz="4" w:space="0"/>
        </w:tcBorders>
      </w:tcPr>
    </w:tblStylePr>
    <w:tblStylePr w:type="band2Vert">
      <w:tblPr/>
      <w:tcPr>
        <w:tcBorders>
          <w:left w:val="single" w:color="7F7F7F" w:themeColor="text1" w:sz="4" w:space="0"/>
          <w:right w:val="single" w:color="7F7F7F" w:themeColor="text1" w:sz="4" w:space="0"/>
        </w:tcBorders>
      </w:tcPr>
    </w:tblStylePr>
    <w:tblStylePr w:type="band1Horz">
      <w:tblPr/>
      <w:tcPr>
        <w:tcBorders>
          <w:top w:val="single" w:color="7F7F7F" w:themeColor="text1" w:sz="4" w:space="0"/>
          <w:bottom w:val="single" w:color="7F7F7F" w:themeColor="text1" w:sz="4" w:space="0"/>
        </w:tcBorders>
      </w:tcPr>
    </w:tblStylePr>
  </w:style>
  <w:style w:type="table" w:styleId="TableGrid">
    <w:name w:val="Table Grid"/>
    <w:basedOn w:val="TableNormal"/>
    <w:uiPriority w:val="59"/>
    <w:rsid w:val="003a5ff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eyeopportunitygroup@btconnect.com"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DCCBA-5A33-3849-8A59-A44BF1E63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Application>LibreOffice/7.0.5.2$Windows_X86_64 LibreOffice_project/64390860c6cd0aca4beafafcfd84613dd9dfb63a</Application>
  <AppVersion>15.0000</AppVersion>
  <Pages>7</Pages>
  <Words>1108</Words>
  <Characters>5621</Characters>
  <CharactersWithSpaces>6634</CharactersWithSpaces>
  <Paragraphs>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2026-06-25T13:29:00Z</dcterms:created>
  <dc:creator>44789</dc:creator>
  <dc:description/>
  <dc:language>en-GB</dc:language>
  <cp:lastModifiedBy>Sanchia Brandreth</cp:lastModifiedBy>
  <cp:lastPrinted>2023-09-26T13:22:00Z</cp:lastPrinted>
  <dcterms:modified xsi:type="dcterms:W3CDTF">2026-06-25T13:29:00Z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