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asciiTheme="minorHAnsi" w:cstheme="minorHAnsi" w:hAnsiTheme="minorHAnsi"/>
          <w:b/>
          <w:b/>
          <w:color w:val="174EA1"/>
          <w:sz w:val="44"/>
          <w:szCs w:val="44"/>
        </w:rPr>
      </w:pPr>
      <w:r>
        <w:drawing>
          <wp:anchor behindDoc="0" distT="0" distB="0" distL="0" distR="0" simplePos="0" locked="0" layoutInCell="0" allowOverlap="1" relativeHeight="3">
            <wp:simplePos x="0" y="0"/>
            <wp:positionH relativeFrom="column">
              <wp:posOffset>130175</wp:posOffset>
            </wp:positionH>
            <wp:positionV relativeFrom="paragraph">
              <wp:posOffset>11430</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Calibri" w:cstheme="minorHAnsi"/>
          <w:b/>
          <w:color w:val="174EA1"/>
          <w:sz w:val="44"/>
          <w:szCs w:val="44"/>
        </w:rPr>
        <w:t>E</w:t>
      </w:r>
      <w:r>
        <w:rPr>
          <w:rFonts w:cs="Calibri" w:cstheme="minorHAnsi"/>
          <w:b/>
          <w:color w:val="174EA1"/>
          <w:sz w:val="44"/>
          <w:szCs w:val="44"/>
        </w:rPr>
        <w:t>YE OPPORTUNITY GROUP</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26 CASTLETON WAY, EYE, SUFFOLK IP23 7BH</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Tel: 01379 870975</w:t>
      </w:r>
    </w:p>
    <w:p>
      <w:pPr>
        <w:pStyle w:val="Normal"/>
        <w:jc w:val="center"/>
        <w:rPr>
          <w:rFonts w:ascii="Calibri" w:hAnsi="Calibri" w:cs="Calibri" w:asciiTheme="minorHAnsi" w:cstheme="minorHAnsi" w:hAnsiTheme="minorHAnsi"/>
          <w:b/>
          <w:b/>
          <w:color w:val="174EA1"/>
        </w:rPr>
      </w:pPr>
      <w:r>
        <w:rPr>
          <w:rFonts w:cs="Calibri" w:cstheme="minorHAnsi"/>
          <w:b/>
          <w:color w:val="174EA1"/>
        </w:rPr>
        <w:t xml:space="preserve">email: </w:t>
      </w:r>
      <w:hyperlink r:id="rId3">
        <w:r>
          <w:rPr>
            <w:rFonts w:cs="Calibri" w:cstheme="minorHAnsi"/>
            <w:b/>
            <w:color w:val="174EA1"/>
            <w:u w:val="single"/>
          </w:rPr>
          <w:t>eyeopportunitygroup@btconnect.com</w:t>
        </w:r>
      </w:hyperlink>
    </w:p>
    <w:p>
      <w:pPr>
        <w:pStyle w:val="Normal"/>
        <w:jc w:val="center"/>
        <w:rPr>
          <w:rFonts w:ascii="Arial" w:hAnsi="Arial" w:cs="Arial"/>
          <w:b/>
          <w:b/>
          <w:bCs/>
          <w:color w:val="174EA1"/>
          <w:sz w:val="28"/>
          <w:szCs w:val="28"/>
        </w:rPr>
      </w:pPr>
      <w:r>
        <w:rPr>
          <w:rFonts w:cs="Arial" w:ascii="Arial" w:hAnsi="Arial"/>
          <w:b/>
          <w:bCs/>
          <w:color w:val="174EA1"/>
          <w:sz w:val="28"/>
          <w:szCs w:val="28"/>
        </w:rPr>
      </w:r>
    </w:p>
    <w:p>
      <w:pPr>
        <w:pStyle w:val="Normal"/>
        <w:jc w:val="center"/>
        <w:rPr>
          <w:b/>
          <w:b/>
          <w:bCs/>
          <w:color w:val="174EA1"/>
        </w:rPr>
      </w:pPr>
      <w:r>
        <w:rPr>
          <w:b/>
          <w:bCs/>
          <w:color w:val="174EA1"/>
        </w:rPr>
        <w:t>Registered Charity Number 287907</w:t>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Web"/>
        <w:spacing w:before="100" w:afterAutospacing="0" w:after="0"/>
        <w:jc w:val="center"/>
        <w:rPr>
          <w:rFonts w:ascii="Arial" w:hAnsi="Arial" w:cs="Arial"/>
          <w:b/>
          <w:b/>
          <w:bCs/>
          <w:sz w:val="32"/>
          <w:szCs w:val="32"/>
        </w:rPr>
      </w:pPr>
      <w:r>
        <w:rPr>
          <w:rFonts w:cs="Arial" w:ascii="Arial" w:hAnsi="Arial"/>
          <w:b/>
          <w:bCs/>
          <w:sz w:val="32"/>
          <w:szCs w:val="32"/>
        </w:rPr>
        <w:t>RISK ASSESSMENT POLICY</w:t>
      </w:r>
    </w:p>
    <w:p>
      <w:pPr>
        <w:pStyle w:val="NormalWeb"/>
        <w:spacing w:before="100" w:afterAutospacing="0" w:after="0"/>
        <w:jc w:val="center"/>
        <w:rPr>
          <w:rFonts w:ascii="Arial" w:hAnsi="Arial" w:cs="Arial"/>
          <w:b/>
          <w:b/>
          <w:bCs/>
          <w:sz w:val="32"/>
          <w:szCs w:val="32"/>
        </w:rPr>
      </w:pPr>
      <w:r>
        <w:rPr>
          <w:rFonts w:cs="Arial" w:ascii="Arial" w:hAnsi="Arial"/>
          <w:b/>
          <w:bCs/>
          <w:sz w:val="32"/>
          <w:szCs w:val="32"/>
        </w:rPr>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General Statement of Policy</w:t>
      </w:r>
    </w:p>
    <w:p>
      <w:pPr>
        <w:pStyle w:val="Normal"/>
        <w:jc w:val="both"/>
        <w:rPr>
          <w:rFonts w:ascii="Arial" w:hAnsi="Arial" w:cs="Arial"/>
          <w:sz w:val="24"/>
          <w:szCs w:val="24"/>
        </w:rPr>
      </w:pPr>
      <w:r>
        <w:rPr>
          <w:rFonts w:cs="Arial" w:ascii="Arial" w:hAnsi="Arial"/>
          <w:sz w:val="24"/>
          <w:szCs w:val="24"/>
        </w:rPr>
        <w:t xml:space="preserve">Eye Opportunity Group (EOG) believes that the health and safety of children is of paramount importance. We make EOG a safe and healthy place for children, parents/carers, staff, visitors and volunteers by assessing and minimising the hazards and risks to enable the children to thrive in a healthy and safe environment.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This policy and related guidance will be monitored by the Management Committee on a regular basis for compliance and will be reviewed annually.</w:t>
      </w:r>
    </w:p>
    <w:p>
      <w:pPr>
        <w:pStyle w:val="Normal"/>
        <w:widowControl/>
        <w:overflowPunct w:val="false"/>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18 January 2024</w:t>
            </w:r>
          </w:p>
        </w:tc>
        <w:tc>
          <w:tcPr>
            <w:tcW w:w="4737" w:type="dxa"/>
            <w:tcBorders/>
          </w:tcPr>
          <w:p>
            <w:pPr>
              <w:pStyle w:val="Normal"/>
              <w:widowControl w:val="false"/>
              <w:overflowPunct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25 June 2026</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bl>
    <w:p>
      <w:pPr>
        <w:pStyle w:val="Normal"/>
        <w:rPr>
          <w:rFonts w:cs="Arial"/>
          <w:b/>
          <w:b/>
        </w:rPr>
      </w:pPr>
      <w:r>
        <w:rPr>
          <w:rFonts w:cs="Arial"/>
          <w:b/>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Defining risk assessment</w:t>
      </w:r>
    </w:p>
    <w:p>
      <w:pPr>
        <w:pStyle w:val="Normal"/>
        <w:jc w:val="both"/>
        <w:rPr>
          <w:rFonts w:ascii="Arial" w:hAnsi="Arial" w:cs="Arial"/>
          <w:sz w:val="24"/>
          <w:szCs w:val="24"/>
        </w:rPr>
      </w:pPr>
      <w:r>
        <w:rPr>
          <w:rFonts w:cs="Arial" w:ascii="Arial" w:hAnsi="Arial"/>
          <w:sz w:val="24"/>
          <w:szCs w:val="24"/>
        </w:rPr>
        <w:t xml:space="preserve">Risk assessment means taking note of aspects of the environment and activities that could cause harm and deciding what needs to be done to prevent that harm, making sure this is adhered to.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The law does not require that all risk is eliminated, but that ‘reasonable precaution’ is taken. This is particularly important when balancing the need for children to be able to take appropriate risks through physically challenging play. Children need the opportunity to work out what is not safe and what they should do when faced with a risk.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Health and safety risk assessments inform procedures. Staff and parents should be involved in reviewing risk assessments and procedures – they are the ones with first-hand knowledge as to whether the control measures are effective – and they can give an informed view to help update procedures accordingly. As our setting is open to children with a wide range of differing needs, the age, stage of development and the children’s competence in assessing risk must also be taken into account when making resources available and designing activities.  This may differ from session to session depending on the needs of the children attending, and staff will assess risks prior to each session.</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This policy is based on the five steps below: </w:t>
      </w:r>
    </w:p>
    <w:p>
      <w:pPr>
        <w:pStyle w:val="ListParagraph"/>
        <w:numPr>
          <w:ilvl w:val="0"/>
          <w:numId w:val="3"/>
        </w:numPr>
        <w:jc w:val="both"/>
        <w:rPr>
          <w:rFonts w:ascii="Arial" w:hAnsi="Arial" w:cs="Arial"/>
          <w:sz w:val="24"/>
          <w:szCs w:val="24"/>
        </w:rPr>
      </w:pPr>
      <w:r>
        <w:rPr>
          <w:rFonts w:cs="Arial" w:ascii="Arial" w:hAnsi="Arial"/>
          <w:sz w:val="24"/>
          <w:szCs w:val="24"/>
        </w:rPr>
        <w:t xml:space="preserve">Identification of risk: Where is it and what is it? </w:t>
      </w:r>
    </w:p>
    <w:p>
      <w:pPr>
        <w:pStyle w:val="ListParagraph"/>
        <w:numPr>
          <w:ilvl w:val="0"/>
          <w:numId w:val="3"/>
        </w:numPr>
        <w:jc w:val="both"/>
        <w:rPr>
          <w:rFonts w:ascii="Arial" w:hAnsi="Arial" w:cs="Arial"/>
          <w:sz w:val="24"/>
          <w:szCs w:val="24"/>
        </w:rPr>
      </w:pPr>
      <w:r>
        <w:rPr>
          <w:rFonts w:cs="Arial" w:ascii="Arial" w:hAnsi="Arial"/>
          <w:sz w:val="24"/>
          <w:szCs w:val="24"/>
        </w:rPr>
        <w:t xml:space="preserve">Who is at risk: Childcare staff, children, parents/carers, cleaners etc? </w:t>
      </w:r>
    </w:p>
    <w:p>
      <w:pPr>
        <w:pStyle w:val="ListParagraph"/>
        <w:numPr>
          <w:ilvl w:val="0"/>
          <w:numId w:val="3"/>
        </w:numPr>
        <w:jc w:val="both"/>
        <w:rPr>
          <w:rFonts w:ascii="Arial" w:hAnsi="Arial" w:cs="Arial"/>
          <w:sz w:val="24"/>
          <w:szCs w:val="24"/>
        </w:rPr>
      </w:pPr>
      <w:r>
        <w:rPr>
          <w:rFonts w:cs="Arial" w:ascii="Arial" w:hAnsi="Arial"/>
          <w:sz w:val="24"/>
          <w:szCs w:val="24"/>
        </w:rPr>
        <w:t xml:space="preserve">Assessment as to the level of risk: as high, medium, low. This takes into account both the risk of the likelihood of it happening, as well as the possible impact if it did. </w:t>
      </w:r>
    </w:p>
    <w:p>
      <w:pPr>
        <w:pStyle w:val="ListParagraph"/>
        <w:numPr>
          <w:ilvl w:val="0"/>
          <w:numId w:val="3"/>
        </w:numPr>
        <w:jc w:val="both"/>
        <w:rPr>
          <w:rFonts w:ascii="Arial" w:hAnsi="Arial" w:cs="Arial"/>
          <w:sz w:val="24"/>
          <w:szCs w:val="24"/>
        </w:rPr>
      </w:pPr>
      <w:r>
        <w:rPr>
          <w:rFonts w:cs="Arial" w:ascii="Arial" w:hAnsi="Arial"/>
          <w:sz w:val="24"/>
          <w:szCs w:val="24"/>
        </w:rPr>
        <w:t xml:space="preserve">Control measures to reduce/eliminate risk: What will we need to do, or ensure others will do, in order to reduce that risk? </w:t>
      </w:r>
    </w:p>
    <w:p>
      <w:pPr>
        <w:pStyle w:val="ListParagraph"/>
        <w:numPr>
          <w:ilvl w:val="0"/>
          <w:numId w:val="3"/>
        </w:numPr>
        <w:jc w:val="both"/>
        <w:rPr>
          <w:rFonts w:ascii="Arial" w:hAnsi="Arial" w:cs="Arial"/>
          <w:sz w:val="24"/>
          <w:szCs w:val="24"/>
        </w:rPr>
      </w:pPr>
      <w:r>
        <w:rPr>
          <w:rFonts w:cs="Arial" w:ascii="Arial" w:hAnsi="Arial"/>
          <w:sz w:val="24"/>
          <w:szCs w:val="24"/>
        </w:rPr>
        <w:t xml:space="preserve">Monitoring and review: How do we know if what we have said is working, or is thorough enough? If it is not working, it will need to be amended, or another solution sought. </w:t>
      </w:r>
    </w:p>
    <w:p>
      <w:pPr>
        <w:pStyle w:val="Normal"/>
        <w:rPr>
          <w:rFonts w:ascii="Times New Roman" w:hAnsi="Times New Roman" w:cs="Times New Roman"/>
          <w:kern w:val="0"/>
        </w:rPr>
      </w:pPr>
      <w:r>
        <w:rPr/>
        <w:drawing>
          <wp:inline distT="0" distB="0" distL="0" distR="0">
            <wp:extent cx="5731510" cy="211455"/>
            <wp:effectExtent l="0" t="0" r="0" b="0"/>
            <wp:docPr id="2" name="Picture 9" descr="page2image219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descr="page2image2193008"/>
                    <pic:cNvPicPr>
                      <a:picLocks noChangeAspect="1" noChangeArrowheads="1"/>
                    </pic:cNvPicPr>
                  </pic:nvPicPr>
                  <pic:blipFill>
                    <a:blip r:embed="rId4"/>
                    <a:stretch>
                      <a:fillRect/>
                    </a:stretch>
                  </pic:blipFill>
                  <pic:spPr bwMode="auto">
                    <a:xfrm>
                      <a:off x="0" y="0"/>
                      <a:ext cx="5731510" cy="211455"/>
                    </a:xfrm>
                    <a:prstGeom prst="rect">
                      <a:avLst/>
                    </a:prstGeom>
                  </pic:spPr>
                </pic:pic>
              </a:graphicData>
            </a:graphic>
          </wp:inline>
        </w:drawing>
      </w:r>
      <w:r>
        <w:rPr>
          <w:rFonts w:cs="Times New Roman" w:ascii="CIDFont+F1" w:hAnsi="CIDFont+F1"/>
          <w:color w:val="4C4C4C"/>
          <w:kern w:val="0"/>
          <w:sz w:val="18"/>
          <w:szCs w:val="18"/>
        </w:rPr>
        <w:t xml:space="preserve"> </w:t>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Procedures </w:t>
      </w:r>
    </w:p>
    <w:p>
      <w:pPr>
        <w:pStyle w:val="Normal"/>
        <w:jc w:val="both"/>
        <w:rPr>
          <w:rFonts w:ascii="Arial" w:hAnsi="Arial" w:cs="Arial"/>
          <w:sz w:val="24"/>
          <w:szCs w:val="24"/>
        </w:rPr>
      </w:pPr>
      <w:r>
        <w:rPr>
          <w:rFonts w:cs="Arial" w:ascii="Arial" w:hAnsi="Arial"/>
          <w:sz w:val="24"/>
          <w:szCs w:val="24"/>
        </w:rPr>
        <w:t xml:space="preserve">Our Health and Safety Representatives (staff member and Management Committee member) undertake training and ensure staff and volunteers have adequate health and safety training.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Our risk assessment process covers adults and children and includes: </w:t>
      </w:r>
    </w:p>
    <w:p>
      <w:pPr>
        <w:pStyle w:val="ListParagraph"/>
        <w:numPr>
          <w:ilvl w:val="0"/>
          <w:numId w:val="2"/>
        </w:numPr>
        <w:jc w:val="both"/>
        <w:rPr>
          <w:rFonts w:ascii="Arial" w:hAnsi="Arial" w:cs="Arial"/>
          <w:sz w:val="24"/>
          <w:szCs w:val="24"/>
        </w:rPr>
      </w:pPr>
      <w:r>
        <w:rPr>
          <w:rFonts w:cs="Arial" w:ascii="Arial" w:hAnsi="Arial"/>
          <w:sz w:val="24"/>
          <w:szCs w:val="24"/>
        </w:rPr>
        <w:t>Determining where it is helpful to make written risk assessments in relation to specific issues, to inform staff, and to demonstrate how we are managing risks if asked by parents and/or carers;</w:t>
      </w:r>
    </w:p>
    <w:p>
      <w:pPr>
        <w:pStyle w:val="ListParagraph"/>
        <w:numPr>
          <w:ilvl w:val="0"/>
          <w:numId w:val="2"/>
        </w:numPr>
        <w:jc w:val="both"/>
        <w:rPr>
          <w:rFonts w:ascii="Arial" w:hAnsi="Arial" w:cs="Arial"/>
          <w:sz w:val="24"/>
          <w:szCs w:val="24"/>
        </w:rPr>
      </w:pPr>
      <w:r>
        <w:rPr>
          <w:rFonts w:cs="Arial" w:ascii="Arial" w:hAnsi="Arial"/>
          <w:sz w:val="24"/>
          <w:szCs w:val="24"/>
        </w:rPr>
        <w:t>checking for and noting hazards and risks indoors and outdoors, in relation to our premises and activities;</w:t>
      </w:r>
    </w:p>
    <w:p>
      <w:pPr>
        <w:pStyle w:val="ListParagraph"/>
        <w:numPr>
          <w:ilvl w:val="0"/>
          <w:numId w:val="2"/>
        </w:numPr>
        <w:jc w:val="both"/>
        <w:rPr>
          <w:rFonts w:ascii="Arial" w:hAnsi="Arial" w:cs="Arial"/>
          <w:sz w:val="24"/>
          <w:szCs w:val="24"/>
        </w:rPr>
      </w:pPr>
      <w:r>
        <w:rPr>
          <w:rFonts w:cs="Arial" w:ascii="Arial" w:hAnsi="Arial"/>
          <w:sz w:val="24"/>
          <w:szCs w:val="24"/>
        </w:rPr>
        <w:t>assessing the level of risk and who might be affected;</w:t>
      </w:r>
    </w:p>
    <w:p>
      <w:pPr>
        <w:pStyle w:val="ListParagraph"/>
        <w:numPr>
          <w:ilvl w:val="0"/>
          <w:numId w:val="2"/>
        </w:numPr>
        <w:jc w:val="both"/>
        <w:rPr>
          <w:rFonts w:ascii="Arial" w:hAnsi="Arial" w:cs="Arial"/>
          <w:sz w:val="24"/>
          <w:szCs w:val="24"/>
        </w:rPr>
      </w:pPr>
      <w:r>
        <w:rPr>
          <w:rFonts w:cs="Arial" w:ascii="Arial" w:hAnsi="Arial"/>
          <w:sz w:val="24"/>
          <w:szCs w:val="24"/>
        </w:rPr>
        <w:t>deciding which areas need attention; and</w:t>
      </w:r>
    </w:p>
    <w:p>
      <w:pPr>
        <w:pStyle w:val="ListParagraph"/>
        <w:numPr>
          <w:ilvl w:val="0"/>
          <w:numId w:val="2"/>
        </w:numPr>
        <w:jc w:val="both"/>
        <w:rPr>
          <w:rFonts w:ascii="Arial" w:hAnsi="Arial" w:cs="Arial"/>
          <w:sz w:val="24"/>
          <w:szCs w:val="24"/>
        </w:rPr>
      </w:pPr>
      <w:r>
        <w:rPr>
          <w:rFonts w:cs="Arial" w:ascii="Arial" w:hAnsi="Arial"/>
          <w:sz w:val="24"/>
          <w:szCs w:val="24"/>
        </w:rPr>
        <w:t xml:space="preserve">developing an action plan that specifies the action required, the timescales for action, the person responsible for the action and any funding required.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The risk assessments are written, reviewed regularly, and updated as required.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We maintain lists of health and safety issues, which are checked daily before the session begins, as well as those that are checked on a weekly and termly basis when a full risk assessment is carried out.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Our Manager ensures that checks, such as electricity and gas safety checks, and any work to the premises, are carried out and records are kept.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Our Health and Safety Representative (staff member) ensures that staff carry out risk assessments that include relevant aspects of fire safety and food safety for all areas of the premises.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Our Health and Safety Representative(s) ensures risk assessments for work practice are in place including: </w:t>
      </w:r>
    </w:p>
    <w:p>
      <w:pPr>
        <w:pStyle w:val="ListParagraph"/>
        <w:numPr>
          <w:ilvl w:val="0"/>
          <w:numId w:val="2"/>
        </w:numPr>
        <w:jc w:val="both"/>
        <w:rPr>
          <w:rFonts w:ascii="Arial" w:hAnsi="Arial" w:cs="Arial"/>
          <w:sz w:val="24"/>
          <w:szCs w:val="24"/>
        </w:rPr>
      </w:pPr>
      <w:r>
        <w:rPr>
          <w:rFonts w:cs="Arial" w:ascii="Arial" w:hAnsi="Arial"/>
          <w:sz w:val="24"/>
          <w:szCs w:val="24"/>
        </w:rPr>
        <w:t>preparation and serving of food/drink for children;</w:t>
      </w:r>
    </w:p>
    <w:p>
      <w:pPr>
        <w:pStyle w:val="ListParagraph"/>
        <w:numPr>
          <w:ilvl w:val="0"/>
          <w:numId w:val="2"/>
        </w:numPr>
        <w:jc w:val="both"/>
        <w:rPr>
          <w:rFonts w:ascii="Arial" w:hAnsi="Arial" w:cs="Arial"/>
          <w:sz w:val="24"/>
          <w:szCs w:val="24"/>
        </w:rPr>
      </w:pPr>
      <w:r>
        <w:rPr>
          <w:rFonts w:cs="Arial" w:ascii="Arial" w:hAnsi="Arial"/>
          <w:sz w:val="24"/>
          <w:szCs w:val="24"/>
        </w:rPr>
        <w:t>children with allergies;</w:t>
      </w:r>
    </w:p>
    <w:p>
      <w:pPr>
        <w:pStyle w:val="ListParagraph"/>
        <w:numPr>
          <w:ilvl w:val="0"/>
          <w:numId w:val="2"/>
        </w:numPr>
        <w:jc w:val="both"/>
        <w:rPr>
          <w:rFonts w:ascii="Arial" w:hAnsi="Arial" w:cs="Arial"/>
          <w:sz w:val="24"/>
          <w:szCs w:val="24"/>
        </w:rPr>
      </w:pPr>
      <w:r>
        <w:rPr>
          <w:rFonts w:cs="Arial" w:ascii="Arial" w:hAnsi="Arial"/>
          <w:sz w:val="24"/>
          <w:szCs w:val="24"/>
        </w:rPr>
        <w:t>cooking activities with children;</w:t>
      </w:r>
    </w:p>
    <w:p>
      <w:pPr>
        <w:pStyle w:val="ListParagraph"/>
        <w:numPr>
          <w:ilvl w:val="0"/>
          <w:numId w:val="2"/>
        </w:numPr>
        <w:jc w:val="both"/>
        <w:rPr>
          <w:rFonts w:ascii="Arial" w:hAnsi="Arial" w:cs="Arial"/>
          <w:sz w:val="24"/>
          <w:szCs w:val="24"/>
        </w:rPr>
      </w:pPr>
      <w:r>
        <w:rPr>
          <w:rFonts w:cs="Arial" w:ascii="Arial" w:hAnsi="Arial"/>
          <w:sz w:val="24"/>
          <w:szCs w:val="24"/>
        </w:rPr>
        <w:t>supervising outdoor play and indoor/outdoor climbing and play equipment;</w:t>
      </w:r>
    </w:p>
    <w:p>
      <w:pPr>
        <w:pStyle w:val="ListParagraph"/>
        <w:numPr>
          <w:ilvl w:val="0"/>
          <w:numId w:val="2"/>
        </w:numPr>
        <w:jc w:val="both"/>
        <w:rPr>
          <w:rFonts w:ascii="Arial" w:hAnsi="Arial" w:cs="Arial"/>
          <w:sz w:val="24"/>
          <w:szCs w:val="24"/>
        </w:rPr>
      </w:pPr>
      <w:r>
        <w:rPr>
          <w:rFonts w:cs="Arial" w:ascii="Arial" w:hAnsi="Arial"/>
          <w:sz w:val="24"/>
          <w:szCs w:val="24"/>
        </w:rPr>
        <w:t>the use and storage of substances which may be hazardous to health, such as cleaning chemicals;</w:t>
      </w:r>
    </w:p>
    <w:p>
      <w:pPr>
        <w:pStyle w:val="ListParagraph"/>
        <w:numPr>
          <w:ilvl w:val="0"/>
          <w:numId w:val="2"/>
        </w:numPr>
        <w:jc w:val="both"/>
        <w:rPr>
          <w:rFonts w:ascii="Arial" w:hAnsi="Arial" w:cs="Arial"/>
          <w:sz w:val="24"/>
          <w:szCs w:val="24"/>
        </w:rPr>
      </w:pPr>
      <w:r>
        <w:rPr>
          <w:rFonts w:cs="Arial" w:ascii="Arial" w:hAnsi="Arial"/>
          <w:sz w:val="24"/>
          <w:szCs w:val="24"/>
        </w:rPr>
        <w:t>visitors to the setting who are bringing equipment or animals as part of children’s learning experiences and;</w:t>
      </w:r>
    </w:p>
    <w:p>
      <w:pPr>
        <w:pStyle w:val="ListParagraph"/>
        <w:numPr>
          <w:ilvl w:val="0"/>
          <w:numId w:val="2"/>
        </w:numPr>
        <w:jc w:val="both"/>
        <w:rPr>
          <w:rFonts w:ascii="Arial" w:hAnsi="Arial" w:cs="Arial"/>
          <w:sz w:val="24"/>
          <w:szCs w:val="24"/>
        </w:rPr>
      </w:pPr>
      <w:r>
        <w:rPr>
          <w:rFonts w:cs="Arial" w:ascii="Arial" w:hAnsi="Arial"/>
          <w:sz w:val="24"/>
          <w:szCs w:val="24"/>
        </w:rPr>
        <w:t xml:space="preserve">following any incidents involving threats against staff or volunteers. </w:t>
      </w:r>
    </w:p>
    <w:p>
      <w:pPr>
        <w:pStyle w:val="ListParagraph"/>
        <w:numPr>
          <w:ilvl w:val="0"/>
          <w:numId w:val="2"/>
        </w:numPr>
        <w:jc w:val="both"/>
        <w:rPr>
          <w:rFonts w:ascii="Arial" w:hAnsi="Arial" w:cs="Arial"/>
          <w:sz w:val="24"/>
          <w:szCs w:val="24"/>
        </w:rPr>
      </w:pPr>
      <w:r>
        <w:rPr>
          <w:rFonts w:cs="Arial" w:ascii="Arial" w:hAnsi="Arial"/>
          <w:sz w:val="24"/>
          <w:szCs w:val="24"/>
        </w:rPr>
        <w:t xml:space="preserve">Our Health and Safety Representative(s) will carry out risk assessments for offsite activities when required, such as for children’s outings, such as the annual Christmas party. </w:t>
      </w:r>
    </w:p>
    <w:p>
      <w:pPr>
        <w:pStyle w:val="ListParagraph"/>
        <w:numPr>
          <w:ilvl w:val="0"/>
          <w:numId w:val="2"/>
        </w:numPr>
        <w:jc w:val="both"/>
        <w:rPr>
          <w:rFonts w:ascii="Arial" w:hAnsi="Arial" w:cs="Arial"/>
          <w:sz w:val="24"/>
          <w:szCs w:val="24"/>
        </w:rPr>
      </w:pPr>
      <w:r>
        <w:rPr>
          <w:rFonts w:cs="Arial" w:ascii="Arial" w:hAnsi="Arial"/>
          <w:sz w:val="24"/>
          <w:szCs w:val="24"/>
        </w:rPr>
        <w:t xml:space="preserve">We take precautions to reduce the risk of exposure to Legionella (Legionnaires disease). Our Health and Safety Representative is familiar with the HSE Guidance. </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t xml:space="preserve">Please also refer to our Health and Safety Policy. </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Legal framework  </w:t>
      </w:r>
    </w:p>
    <w:p>
      <w:pPr>
        <w:pStyle w:val="Normal"/>
        <w:jc w:val="both"/>
        <w:rPr>
          <w:rFonts w:ascii="Arial" w:hAnsi="Arial" w:cs="Arial"/>
          <w:sz w:val="24"/>
          <w:szCs w:val="24"/>
        </w:rPr>
      </w:pPr>
      <w:r>
        <w:rPr>
          <w:rFonts w:cs="Arial" w:ascii="Arial" w:hAnsi="Arial"/>
          <w:sz w:val="24"/>
          <w:szCs w:val="24"/>
        </w:rPr>
        <w:t xml:space="preserve">Management of Health and Safety at Work Regulations (1999) </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Further guidance </w:t>
      </w:r>
    </w:p>
    <w:p>
      <w:pPr>
        <w:pStyle w:val="ListParagraph"/>
        <w:numPr>
          <w:ilvl w:val="0"/>
          <w:numId w:val="2"/>
        </w:numPr>
        <w:jc w:val="both"/>
        <w:rPr>
          <w:rFonts w:ascii="Arial" w:hAnsi="Arial" w:cs="Arial"/>
          <w:sz w:val="24"/>
          <w:szCs w:val="24"/>
        </w:rPr>
      </w:pPr>
      <w:r>
        <w:rPr>
          <w:rFonts w:cs="Arial" w:ascii="Arial" w:hAnsi="Arial"/>
          <w:sz w:val="24"/>
          <w:szCs w:val="24"/>
        </w:rPr>
        <w:t xml:space="preserve">Managing risks and risk assessment at work; </w:t>
      </w:r>
      <w:hyperlink r:id="rId5">
        <w:r>
          <w:rPr>
            <w:rStyle w:val="InternetLink"/>
            <w:rFonts w:cs="Arial" w:ascii="Arial" w:hAnsi="Arial"/>
            <w:sz w:val="24"/>
            <w:szCs w:val="24"/>
          </w:rPr>
          <w:t>https://www.hse.gov.uk/simple-health-safety/risk/index.htm</w:t>
        </w:r>
      </w:hyperlink>
      <w:r>
        <w:rPr>
          <w:rFonts w:cs="Arial" w:ascii="Arial" w:hAnsi="Arial"/>
          <w:sz w:val="24"/>
          <w:szCs w:val="24"/>
        </w:rPr>
        <w:t xml:space="preserve"> </w:t>
      </w:r>
    </w:p>
    <w:p>
      <w:pPr>
        <w:pStyle w:val="ListParagraph"/>
        <w:numPr>
          <w:ilvl w:val="0"/>
          <w:numId w:val="2"/>
        </w:numPr>
        <w:jc w:val="both"/>
        <w:rPr>
          <w:rFonts w:ascii="Times New Roman" w:hAnsi="Times New Roman" w:cs="Times New Roman"/>
          <w:kern w:val="0"/>
        </w:rPr>
      </w:pPr>
      <w:r>
        <w:rPr>
          <w:rFonts w:cs="Arial" w:ascii="Arial" w:hAnsi="Arial"/>
          <w:sz w:val="24"/>
          <w:szCs w:val="24"/>
        </w:rPr>
        <w:t>Legionella and Legionnaire’s Disease; </w:t>
      </w:r>
      <w:hyperlink r:id="rId6">
        <w:r>
          <w:rPr>
            <w:rStyle w:val="InternetLink"/>
            <w:rFonts w:cs="Arial" w:ascii="Arial" w:hAnsi="Arial"/>
            <w:sz w:val="24"/>
            <w:szCs w:val="24"/>
          </w:rPr>
          <w:t>https://www.hse.gov.uk/legionnaires/</w:t>
        </w:r>
      </w:hyperlink>
    </w:p>
    <w:sectPr>
      <w:headerReference w:type="default" r:id="rId7"/>
      <w:footerReference w:type="default" r:id="rId8"/>
      <w:type w:val="nextPage"/>
      <w:pgSz w:w="12240" w:h="15840"/>
      <w:pgMar w:left="720" w:right="720" w:header="709" w:top="766" w:footer="709" w:bottom="766"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swiss"/>
    <w:pitch w:val="variable"/>
  </w:font>
  <w:font w:name="CIDFont+F1">
    <w:charset w:val="00"/>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jc w:val="right"/>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7"/>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rsid w:val="00af78c6"/>
    <w:pPr>
      <w:widowControl/>
      <w:overflowPunct w:val="false"/>
      <w:spacing w:beforeAutospacing="1" w:afterAutospacing="1"/>
      <w:outlineLvl w:val="0"/>
    </w:pPr>
    <w:rPr>
      <w:rFonts w:ascii="Times New Roman" w:hAnsi="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e6f01"/>
    <w:rPr>
      <w:sz w:val="16"/>
      <w:szCs w:val="16"/>
    </w:rPr>
  </w:style>
  <w:style w:type="character" w:styleId="CommentTextChar" w:customStyle="1">
    <w:name w:val="Comment Text Char"/>
    <w:basedOn w:val="DefaultParagraphFont"/>
    <w:link w:val="CommentText"/>
    <w:uiPriority w:val="99"/>
    <w:semiHidden/>
    <w:qFormat/>
    <w:rsid w:val="001e6f01"/>
    <w:rPr>
      <w:rFonts w:cs="Calibri"/>
      <w:kern w:val="2"/>
    </w:rPr>
  </w:style>
  <w:style w:type="character" w:styleId="CommentSubjectChar" w:customStyle="1">
    <w:name w:val="Comment Subject Char"/>
    <w:basedOn w:val="CommentTextChar"/>
    <w:link w:val="CommentSubject"/>
    <w:uiPriority w:val="99"/>
    <w:semiHidden/>
    <w:qFormat/>
    <w:rsid w:val="001e6f01"/>
    <w:rPr>
      <w:rFonts w:cs="Calibri"/>
      <w:b/>
      <w:bCs/>
      <w:kern w:val="2"/>
    </w:rPr>
  </w:style>
  <w:style w:type="character" w:styleId="Heading1Char" w:customStyle="1">
    <w:name w:val="Heading 1 Char"/>
    <w:basedOn w:val="DefaultParagraphFont"/>
    <w:link w:val="Heading1"/>
    <w:uiPriority w:val="9"/>
    <w:qFormat/>
    <w:rsid w:val="00af78c6"/>
    <w:rPr>
      <w:rFonts w:ascii="Times New Roman" w:hAnsi="Times New Roman"/>
      <w:b/>
      <w:bCs/>
      <w:kern w:val="2"/>
      <w:sz w:val="48"/>
      <w:szCs w:val="48"/>
    </w:rPr>
  </w:style>
  <w:style w:type="character" w:styleId="InternetLink">
    <w:name w:val="Hyperlink"/>
    <w:basedOn w:val="DefaultParagraphFont"/>
    <w:uiPriority w:val="99"/>
    <w:unhideWhenUsed/>
    <w:rsid w:val="00af78c6"/>
    <w:rPr>
      <w:color w:val="0000FF" w:themeColor="hyperlink"/>
      <w:u w:val="single"/>
    </w:rPr>
  </w:style>
  <w:style w:type="character" w:styleId="UnresolvedMention">
    <w:name w:val="Unresolved Mention"/>
    <w:basedOn w:val="DefaultParagraphFont"/>
    <w:uiPriority w:val="99"/>
    <w:semiHidden/>
    <w:unhideWhenUsed/>
    <w:qFormat/>
    <w:rsid w:val="00af78c6"/>
    <w:rPr>
      <w:color w:val="605E5C"/>
      <w:shd w:fill="E1DFDD" w:val="clear"/>
    </w:rPr>
  </w:style>
  <w:style w:type="character" w:styleId="EndnoteTextChar" w:customStyle="1">
    <w:name w:val="Endnote Text Char"/>
    <w:basedOn w:val="DefaultParagraphFont"/>
    <w:link w:val="EndnoteText"/>
    <w:uiPriority w:val="99"/>
    <w:semiHidden/>
    <w:qFormat/>
    <w:rsid w:val="007f2668"/>
    <w:rPr>
      <w:rFonts w:ascii="Arial" w:hAnsi="Arial"/>
      <w:lang w:eastAsia="en-US"/>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1e6f01"/>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Annotationtext">
    <w:name w:val="annotation text"/>
    <w:basedOn w:val="Normal"/>
    <w:link w:val="CommentTextChar"/>
    <w:uiPriority w:val="99"/>
    <w:semiHidden/>
    <w:unhideWhenUsed/>
    <w:qFormat/>
    <w:rsid w:val="001e6f01"/>
    <w:pPr/>
    <w:rPr>
      <w:sz w:val="20"/>
      <w:szCs w:val="20"/>
    </w:rPr>
  </w:style>
  <w:style w:type="paragraph" w:styleId="Annotationsubject">
    <w:name w:val="annotation subject"/>
    <w:basedOn w:val="Annotationtext"/>
    <w:next w:val="Annotationtext"/>
    <w:link w:val="CommentSubjectChar"/>
    <w:uiPriority w:val="99"/>
    <w:semiHidden/>
    <w:unhideWhenUsed/>
    <w:qFormat/>
    <w:rsid w:val="001e6f01"/>
    <w:pPr/>
    <w:rPr>
      <w:b/>
      <w:bCs/>
    </w:rPr>
  </w:style>
  <w:style w:type="paragraph" w:styleId="ListParagraph">
    <w:name w:val="List Paragraph"/>
    <w:basedOn w:val="Normal"/>
    <w:uiPriority w:val="34"/>
    <w:qFormat/>
    <w:rsid w:val="001e6f01"/>
    <w:pPr>
      <w:spacing w:before="0" w:after="0"/>
      <w:ind w:left="720" w:hanging="0"/>
      <w:contextualSpacing/>
    </w:pPr>
    <w:rPr/>
  </w:style>
  <w:style w:type="paragraph" w:styleId="NormalWeb">
    <w:name w:val="Normal (Web)"/>
    <w:basedOn w:val="Normal"/>
    <w:uiPriority w:val="99"/>
    <w:unhideWhenUsed/>
    <w:qFormat/>
    <w:rsid w:val="002c2c37"/>
    <w:pPr>
      <w:widowControl/>
      <w:overflowPunct w:val="false"/>
      <w:spacing w:beforeAutospacing="1" w:afterAutospacing="1"/>
    </w:pPr>
    <w:rPr>
      <w:rFonts w:ascii="Times New Roman" w:hAnsi="Times New Roman" w:cs="Times New Roman"/>
      <w:kern w:val="0"/>
      <w:sz w:val="24"/>
      <w:szCs w:val="24"/>
    </w:rPr>
  </w:style>
  <w:style w:type="paragraph" w:styleId="Endnote">
    <w:name w:val="Endnote Text"/>
    <w:basedOn w:val="Normal"/>
    <w:link w:val="EndnoteTextChar"/>
    <w:uiPriority w:val="99"/>
    <w:semiHidden/>
    <w:rsid w:val="007f2668"/>
    <w:pPr>
      <w:widowControl/>
      <w:overflowPunct w:val="false"/>
    </w:pPr>
    <w:rPr>
      <w:rFonts w:ascii="Arial" w:hAnsi="Arial" w:cs="Times New Roman"/>
      <w:kern w:val="0"/>
      <w:sz w:val="20"/>
      <w:szCs w:val="20"/>
      <w:lang w:eastAsia="en-U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numbering" w:styleId="CurrentList1" w:customStyle="1">
    <w:name w:val="Current List1"/>
    <w:uiPriority w:val="99"/>
    <w:qFormat/>
    <w:rsid w:val="00b56cf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3a5ff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2">
    <w:name w:val="Plain Table 2"/>
    <w:basedOn w:val="TableNormal"/>
    <w:uiPriority w:val="42"/>
    <w:rsid w:val="003a5ff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
    <w:name w:val="Table Grid"/>
    <w:basedOn w:val="TableNormal"/>
    <w:uiPriority w:val="59"/>
    <w:rsid w:val="003a5f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image" Target="media/image2.png"/><Relationship Id="rId5" Type="http://schemas.openxmlformats.org/officeDocument/2006/relationships/hyperlink" Target="https://www.hse.gov.uk/simple-health-safety/risk/index.htm" TargetMode="External"/><Relationship Id="rId6" Type="http://schemas.openxmlformats.org/officeDocument/2006/relationships/hyperlink" Target="https://www.hse.gov.uk/legionnaires/"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LibreOffice/7.0.5.2$Windows_X86_64 LibreOffice_project/64390860c6cd0aca4beafafcfd84613dd9dfb63a</Application>
  <AppVersion>15.0000</AppVersion>
  <Pages>3</Pages>
  <Words>852</Words>
  <Characters>4515</Characters>
  <CharactersWithSpaces>5320</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2026-06-25T13:42:00Z</dcterms:created>
  <dc:creator>Sanchia Brandreth</dc:creator>
  <dc:description/>
  <dc:language>en-GB</dc:language>
  <cp:lastModifiedBy>Sanchia Brandreth</cp:lastModifiedBy>
  <cp:lastPrinted>2023-09-26T13:22:00Z</cp:lastPrinted>
  <dcterms:modified xsi:type="dcterms:W3CDTF">2026-06-25T13:42:00Z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